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宋体" w:hAnsi="宋体" w:cs="宋体"/>
          <w:sz w:val="44"/>
          <w:szCs w:val="44"/>
        </w:rPr>
      </w:pPr>
      <w:r>
        <w:rPr>
          <w:rFonts w:hint="eastAsia" w:ascii="宋体" w:hAnsi="宋体" w:cs="宋体"/>
          <w:sz w:val="44"/>
          <w:szCs w:val="44"/>
        </w:rPr>
        <w:t>深圳市龙岗区制造业高质量发展扶持计划实施细则</w:t>
      </w:r>
    </w:p>
    <w:p>
      <w:pPr>
        <w:adjustRightInd w:val="0"/>
        <w:snapToGrid w:val="0"/>
        <w:spacing w:line="560" w:lineRule="exact"/>
        <w:jc w:val="center"/>
        <w:rPr>
          <w:rFonts w:ascii="Arial" w:hAnsi="Arial" w:eastAsia="仿宋" w:cs="Arial"/>
          <w:sz w:val="32"/>
          <w:szCs w:val="32"/>
        </w:rPr>
      </w:pPr>
      <w:r>
        <w:rPr>
          <w:rFonts w:hint="eastAsia" w:ascii="Arial" w:hAnsi="Arial" w:eastAsia="仿宋" w:cs="Arial"/>
          <w:sz w:val="32"/>
          <w:szCs w:val="32"/>
        </w:rPr>
        <w:t>（征求意见稿）</w:t>
      </w:r>
    </w:p>
    <w:p>
      <w:pPr>
        <w:pStyle w:val="2"/>
        <w:adjustRightInd w:val="0"/>
        <w:snapToGrid w:val="0"/>
        <w:spacing w:line="560" w:lineRule="exact"/>
        <w:jc w:val="center"/>
        <w:rPr>
          <w:rFonts w:ascii="Arial" w:hAnsi="Arial" w:eastAsia="仿宋" w:cs="Arial"/>
          <w:sz w:val="32"/>
          <w:szCs w:val="32"/>
        </w:rPr>
      </w:pPr>
    </w:p>
    <w:p>
      <w:pPr>
        <w:numPr>
          <w:ilvl w:val="0"/>
          <w:numId w:val="1"/>
        </w:numPr>
        <w:adjustRightInd w:val="0"/>
        <w:snapToGrid w:val="0"/>
        <w:spacing w:line="560" w:lineRule="exact"/>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2"/>
        </w:numPr>
        <w:adjustRightInd w:val="0"/>
        <w:snapToGrid w:val="0"/>
        <w:spacing w:line="560" w:lineRule="exact"/>
        <w:ind w:firstLine="640"/>
        <w:rPr>
          <w:rFonts w:ascii="仿宋_GB2312" w:hAnsi="Arial" w:eastAsia="仿宋_GB2312" w:cs="Arial"/>
          <w:sz w:val="32"/>
          <w:szCs w:val="32"/>
        </w:rPr>
      </w:pPr>
      <w:r>
        <w:rPr>
          <w:rFonts w:hint="eastAsia" w:ascii="仿宋_GB2312" w:hAnsi="Arial" w:eastAsia="仿宋_GB2312" w:cs="Arial"/>
          <w:sz w:val="32"/>
          <w:szCs w:val="32"/>
        </w:rPr>
        <w:t xml:space="preserve"> 根据《深圳市龙岗区区级财政专项资金管理办法》（深龙府规</w:t>
      </w:r>
      <w:r>
        <w:rPr>
          <w:rFonts w:hint="eastAsia" w:ascii="仿宋_GB2312" w:hAnsi="仿宋_GB2312" w:eastAsia="仿宋_GB2312" w:cs="仿宋_GB2312"/>
          <w:sz w:val="32"/>
          <w:szCs w:val="32"/>
        </w:rPr>
        <w:t>〔2021</w:t>
      </w:r>
      <w:r>
        <w:rPr>
          <w:rFonts w:hint="eastAsia" w:ascii="仿宋_GB2312" w:hAnsi="Arial" w:eastAsia="仿宋_GB2312" w:cs="Arial"/>
          <w:sz w:val="32"/>
          <w:szCs w:val="32"/>
        </w:rPr>
        <w:t>〕1号）及《深圳市龙岗区工业和信息化产业发展专项资金管理办法》（暂未发布），结合工作实际，制定本实施细则。</w:t>
      </w:r>
    </w:p>
    <w:p>
      <w:pPr>
        <w:numPr>
          <w:ilvl w:val="0"/>
          <w:numId w:val="2"/>
        </w:numPr>
        <w:adjustRightInd w:val="0"/>
        <w:snapToGrid w:val="0"/>
        <w:spacing w:line="560" w:lineRule="exact"/>
        <w:ind w:firstLine="640"/>
        <w:rPr>
          <w:rFonts w:ascii="仿宋_GB2312" w:hAnsi="Arial" w:eastAsia="仿宋_GB2312" w:cs="Arial"/>
          <w:sz w:val="32"/>
          <w:szCs w:val="32"/>
        </w:rPr>
      </w:pPr>
      <w:r>
        <w:rPr>
          <w:rFonts w:hint="eastAsia" w:ascii="仿宋_GB2312" w:hAnsi="Arial" w:eastAsia="仿宋_GB2312" w:cs="Arial"/>
          <w:sz w:val="32"/>
          <w:szCs w:val="32"/>
        </w:rPr>
        <w:t xml:space="preserve"> 本实施细则所称制造业高质量发展扶持计划，包含了推进龙岗区制造业企业高质量发展的增资扩产、转型升级、绿色低碳、优化平台等项目扶持内容，具体见第三章条款。</w:t>
      </w:r>
    </w:p>
    <w:p>
      <w:pPr>
        <w:numPr>
          <w:ilvl w:val="0"/>
          <w:numId w:val="2"/>
        </w:numPr>
        <w:adjustRightInd w:val="0"/>
        <w:snapToGrid w:val="0"/>
        <w:spacing w:line="560" w:lineRule="exact"/>
        <w:ind w:firstLine="640"/>
        <w:rPr>
          <w:rFonts w:ascii="仿宋_GB2312" w:hAnsi="Arial" w:eastAsia="仿宋_GB2312" w:cs="Arial"/>
          <w:sz w:val="32"/>
          <w:szCs w:val="32"/>
        </w:rPr>
      </w:pPr>
      <w:r>
        <w:rPr>
          <w:rFonts w:hint="eastAsia" w:ascii="仿宋_GB2312" w:hAnsi="Arial" w:eastAsia="仿宋_GB2312" w:cs="Arial"/>
          <w:sz w:val="32"/>
          <w:szCs w:val="32"/>
        </w:rPr>
        <w:t xml:space="preserve"> 本专项资金的管理遵循公正透明、依法依规、绩效优先、合理统筹、专款专用的原则。</w:t>
      </w:r>
    </w:p>
    <w:p>
      <w:pPr>
        <w:numPr>
          <w:ilvl w:val="0"/>
          <w:numId w:val="2"/>
        </w:numPr>
        <w:adjustRightInd w:val="0"/>
        <w:snapToGrid w:val="0"/>
        <w:spacing w:line="560" w:lineRule="exact"/>
        <w:ind w:firstLine="640"/>
        <w:rPr>
          <w:rFonts w:ascii="仿宋_GB2312" w:hAnsi="Arial" w:eastAsia="仿宋_GB2312" w:cs="Arial"/>
          <w:sz w:val="32"/>
          <w:szCs w:val="32"/>
        </w:rPr>
      </w:pPr>
      <w:r>
        <w:rPr>
          <w:rFonts w:hint="eastAsia" w:ascii="仿宋_GB2312" w:hAnsi="Arial" w:eastAsia="仿宋_GB2312" w:cs="Arial"/>
          <w:sz w:val="32"/>
          <w:szCs w:val="32"/>
        </w:rPr>
        <w:t xml:space="preserve"> 本专项资金项目实行总额控制、自愿申报、专家评审、专项审计、社会公示、集体决策、绩效评价、加强监督的管理模式。</w:t>
      </w:r>
    </w:p>
    <w:p>
      <w:pPr>
        <w:numPr>
          <w:ilvl w:val="0"/>
          <w:numId w:val="3"/>
        </w:numPr>
        <w:adjustRightInd w:val="0"/>
        <w:snapToGrid w:val="0"/>
        <w:spacing w:line="560" w:lineRule="exact"/>
        <w:jc w:val="center"/>
        <w:rPr>
          <w:rFonts w:ascii="黑体" w:hAnsi="黑体" w:eastAsia="黑体" w:cs="黑体"/>
          <w:sz w:val="32"/>
          <w:szCs w:val="32"/>
        </w:rPr>
      </w:pPr>
      <w:r>
        <w:rPr>
          <w:rFonts w:hint="eastAsia" w:ascii="黑体" w:hAnsi="黑体" w:eastAsia="黑体" w:cs="黑体"/>
          <w:sz w:val="32"/>
          <w:szCs w:val="32"/>
        </w:rPr>
        <w:t>职责分工</w:t>
      </w:r>
    </w:p>
    <w:p>
      <w:pPr>
        <w:pStyle w:val="6"/>
        <w:shd w:val="clear" w:color="auto" w:fill="FFFFFF"/>
        <w:adjustRightInd w:val="0"/>
        <w:snapToGrid w:val="0"/>
        <w:spacing w:before="0" w:beforeAutospacing="0" w:after="0" w:afterAutospacing="0" w:line="560" w:lineRule="exact"/>
        <w:rPr>
          <w:rFonts w:ascii="仿宋_GB2312" w:hAnsi="Arial" w:eastAsia="仿宋_GB2312" w:cs="Arial"/>
          <w:color w:val="auto"/>
          <w:kern w:val="2"/>
          <w:sz w:val="32"/>
          <w:szCs w:val="32"/>
        </w:rPr>
      </w:pPr>
      <w:r>
        <w:rPr>
          <w:rFonts w:hint="eastAsia" w:ascii="仿宋_GB2312" w:hAnsi="Arial" w:eastAsia="仿宋_GB2312" w:cs="Arial"/>
          <w:color w:val="auto"/>
          <w:sz w:val="32"/>
          <w:szCs w:val="32"/>
        </w:rPr>
        <w:t xml:space="preserve">    第五条 </w:t>
      </w:r>
      <w:r>
        <w:rPr>
          <w:rFonts w:hint="eastAsia" w:ascii="仿宋_GB2312" w:hAnsi="Arial" w:eastAsia="仿宋_GB2312" w:cs="Arial"/>
          <w:color w:val="auto"/>
          <w:kern w:val="2"/>
          <w:sz w:val="32"/>
          <w:szCs w:val="32"/>
        </w:rPr>
        <w:t>龙岗区工业和信息化局负责编制并发布项目申请指南，组织项目申报、初审、复审（专项审计或专家评审）等工作，负责项目查重、公示及申诉处理，下达专项资金扶持计划，办理专项资金拨付手续；组织开展绩效评价，配合区财政局、区审计局对资金使用和管理进行监督检查；以及职能范围内的其他工作事项。</w:t>
      </w:r>
    </w:p>
    <w:p>
      <w:pPr>
        <w:pStyle w:val="6"/>
        <w:shd w:val="clear" w:color="auto" w:fill="FFFFFF"/>
        <w:adjustRightInd w:val="0"/>
        <w:snapToGrid w:val="0"/>
        <w:spacing w:before="0" w:beforeAutospacing="0" w:after="0" w:afterAutospacing="0" w:line="560" w:lineRule="exact"/>
        <w:rPr>
          <w:rFonts w:ascii="仿宋_GB2312" w:hAnsi="Arial" w:eastAsia="仿宋_GB2312" w:cs="Arial"/>
          <w:color w:val="auto"/>
          <w:sz w:val="32"/>
          <w:szCs w:val="32"/>
        </w:rPr>
      </w:pPr>
      <w:r>
        <w:rPr>
          <w:rFonts w:hint="eastAsia" w:ascii="仿宋_GB2312" w:hAnsi="Arial" w:eastAsia="仿宋_GB2312" w:cs="Arial"/>
          <w:color w:val="auto"/>
          <w:sz w:val="32"/>
          <w:szCs w:val="32"/>
        </w:rPr>
        <w:t>　　第六条 项目单位（个人）在符合申报条件的前提下，按申请指南要求进行项目申报，提交项目申请书等资料，并对申报项目的完整性、准确性和真实性负责，配合区工业和信息化局、区财政局和区审计局及其委托机构完成相关统计、监督、检查、评价等工作，承担专项资金使用责任。</w:t>
      </w:r>
    </w:p>
    <w:p>
      <w:pPr>
        <w:pStyle w:val="6"/>
        <w:shd w:val="clear" w:color="auto" w:fill="FFFFFF"/>
        <w:adjustRightInd w:val="0"/>
        <w:snapToGrid w:val="0"/>
        <w:spacing w:before="0" w:beforeAutospacing="0" w:after="0" w:afterAutospacing="0" w:line="560" w:lineRule="exact"/>
        <w:ind w:firstLine="640"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第七条 区工业和信息化局根据工作需要，可通过政府购买服务的方式，委托第三方专业服务机构开展项目受理、审核等过程中的事务性与辅助性工作。受委托的第三方专业服务机构按约履责，完善内控制度，按规定做好相关信息的安全管理和保密工作。</w:t>
      </w:r>
    </w:p>
    <w:p>
      <w:pPr>
        <w:pStyle w:val="6"/>
        <w:shd w:val="clear" w:color="auto" w:fill="FFFFFF"/>
        <w:adjustRightInd w:val="0"/>
        <w:snapToGrid w:val="0"/>
        <w:spacing w:before="0" w:beforeAutospacing="0" w:after="0" w:afterAutospacing="0" w:line="560" w:lineRule="exact"/>
        <w:ind w:firstLine="640" w:firstLineChars="200"/>
        <w:rPr>
          <w:rFonts w:ascii="Arial" w:hAnsi="Arial" w:eastAsia="仿宋" w:cs="Arial"/>
          <w:color w:val="auto"/>
          <w:sz w:val="32"/>
          <w:szCs w:val="32"/>
        </w:rPr>
      </w:pPr>
    </w:p>
    <w:p>
      <w:pPr>
        <w:pStyle w:val="6"/>
        <w:shd w:val="clear" w:color="auto" w:fill="FFFFFF"/>
        <w:adjustRightInd w:val="0"/>
        <w:snapToGrid w:val="0"/>
        <w:spacing w:before="0" w:beforeAutospacing="0" w:after="0" w:afterAutospacing="0" w:line="560" w:lineRule="exact"/>
        <w:jc w:val="center"/>
        <w:rPr>
          <w:rFonts w:ascii="Arial" w:hAnsi="Arial" w:eastAsia="仿宋" w:cs="Arial"/>
          <w:color w:val="auto"/>
          <w:sz w:val="32"/>
          <w:szCs w:val="32"/>
        </w:rPr>
      </w:pPr>
      <w:r>
        <w:rPr>
          <w:rFonts w:hint="eastAsia" w:ascii="黑体" w:hAnsi="黑体" w:eastAsia="黑体" w:cs="黑体"/>
          <w:color w:val="auto"/>
          <w:sz w:val="32"/>
          <w:szCs w:val="32"/>
        </w:rPr>
        <w:t>第三章 扶持范围、标准和审核方式</w:t>
      </w:r>
    </w:p>
    <w:p>
      <w:pPr>
        <w:pStyle w:val="6"/>
        <w:shd w:val="clear" w:color="auto" w:fill="FFFFFF"/>
        <w:adjustRightInd w:val="0"/>
        <w:snapToGrid w:val="0"/>
        <w:spacing w:before="0" w:beforeAutospacing="0" w:after="0" w:afterAutospacing="0" w:line="560" w:lineRule="exact"/>
        <w:ind w:firstLine="643" w:firstLineChars="200"/>
        <w:rPr>
          <w:rFonts w:ascii="仿宋_GB2312" w:hAnsi="Arial" w:eastAsia="仿宋_GB2312" w:cs="Arial"/>
          <w:b/>
          <w:bCs/>
          <w:color w:val="auto"/>
          <w:sz w:val="32"/>
          <w:szCs w:val="32"/>
        </w:rPr>
      </w:pPr>
      <w:r>
        <w:rPr>
          <w:rFonts w:hint="eastAsia" w:ascii="仿宋_GB2312" w:hAnsi="Arial" w:eastAsia="仿宋_GB2312" w:cs="Arial"/>
          <w:b/>
          <w:bCs/>
          <w:color w:val="auto"/>
          <w:kern w:val="2"/>
          <w:sz w:val="32"/>
          <w:szCs w:val="32"/>
        </w:rPr>
        <w:t>第八条</w:t>
      </w:r>
      <w:r>
        <w:rPr>
          <w:rFonts w:hint="eastAsia" w:ascii="仿宋_GB2312" w:eastAsia="仿宋_GB2312"/>
          <w:b/>
          <w:bCs/>
          <w:color w:val="auto"/>
        </w:rPr>
        <w:t xml:space="preserve"> </w:t>
      </w:r>
      <w:r>
        <w:rPr>
          <w:rFonts w:hint="eastAsia" w:ascii="仿宋_GB2312" w:hAnsi="Arial" w:eastAsia="仿宋_GB2312" w:cs="Arial"/>
          <w:b/>
          <w:bCs/>
          <w:color w:val="auto"/>
          <w:sz w:val="32"/>
          <w:szCs w:val="32"/>
        </w:rPr>
        <w:t>工业企业入库扶持项目</w:t>
      </w:r>
    </w:p>
    <w:p>
      <w:pPr>
        <w:pStyle w:val="6"/>
        <w:shd w:val="clear" w:color="auto" w:fill="FFFFFF"/>
        <w:adjustRightInd w:val="0"/>
        <w:snapToGrid w:val="0"/>
        <w:spacing w:before="0" w:beforeAutospacing="0" w:after="0" w:afterAutospacing="0" w:line="560" w:lineRule="exact"/>
        <w:ind w:firstLine="640" w:firstLineChars="200"/>
        <w:rPr>
          <w:rFonts w:ascii="仿宋_GB2312" w:hAnsi="仿宋_GB2312" w:eastAsia="仿宋_GB2312" w:cs="仿宋_GB2312"/>
          <w:color w:val="auto"/>
          <w:sz w:val="32"/>
          <w:szCs w:val="32"/>
        </w:rPr>
      </w:pPr>
      <w:r>
        <w:rPr>
          <w:rFonts w:hint="eastAsia" w:ascii="仿宋_GB2312" w:hAnsi="Arial" w:eastAsia="仿宋_GB2312" w:cs="Arial"/>
          <w:color w:val="auto"/>
          <w:sz w:val="32"/>
          <w:szCs w:val="32"/>
        </w:rPr>
        <w:t>（一）扶持范围：</w:t>
      </w:r>
      <w:r>
        <w:rPr>
          <w:rFonts w:hint="eastAsia" w:ascii="仿宋_GB2312" w:hAnsi="仿宋_GB2312" w:eastAsia="仿宋_GB2312" w:cs="仿宋_GB2312"/>
          <w:color w:val="auto"/>
          <w:sz w:val="32"/>
          <w:szCs w:val="32"/>
        </w:rPr>
        <w:t>首次被纳入龙岗区规模以上工业企业统计数据库的企业。</w:t>
      </w:r>
    </w:p>
    <w:p>
      <w:pPr>
        <w:pStyle w:val="6"/>
        <w:shd w:val="clear" w:color="auto" w:fill="FFFFFF"/>
        <w:adjustRightInd w:val="0"/>
        <w:snapToGrid w:val="0"/>
        <w:spacing w:before="0" w:beforeAutospacing="0" w:after="0" w:afterAutospacing="0" w:line="560" w:lineRule="exact"/>
        <w:ind w:firstLine="640" w:firstLineChars="200"/>
        <w:rPr>
          <w:rFonts w:ascii="仿宋_GB2312" w:hAnsi="仿宋_GB2312" w:eastAsia="仿宋_GB2312" w:cs="仿宋_GB2312"/>
          <w:color w:val="auto"/>
          <w:sz w:val="32"/>
          <w:szCs w:val="32"/>
        </w:rPr>
      </w:pPr>
      <w:r>
        <w:rPr>
          <w:rFonts w:hint="eastAsia" w:ascii="仿宋_GB2312" w:hAnsi="Arial" w:eastAsia="仿宋_GB2312" w:cs="Arial"/>
          <w:color w:val="auto"/>
          <w:sz w:val="32"/>
          <w:szCs w:val="32"/>
        </w:rPr>
        <w:t>（二）资助方式和标准：</w:t>
      </w:r>
      <w:r>
        <w:rPr>
          <w:rFonts w:hint="eastAsia" w:ascii="仿宋_GB2312" w:hAnsi="仿宋_GB2312" w:eastAsia="仿宋_GB2312" w:cs="仿宋_GB2312"/>
          <w:color w:val="auto"/>
          <w:sz w:val="32"/>
          <w:szCs w:val="32"/>
        </w:rPr>
        <w:t>给予10万元的一次性奖励。</w:t>
      </w:r>
    </w:p>
    <w:p>
      <w:pPr>
        <w:pStyle w:val="6"/>
        <w:shd w:val="clear" w:color="auto" w:fill="FFFFFF"/>
        <w:adjustRightInd w:val="0"/>
        <w:snapToGrid w:val="0"/>
        <w:spacing w:before="0" w:beforeAutospacing="0" w:after="0" w:afterAutospacing="0" w:line="560" w:lineRule="exact"/>
        <w:ind w:firstLine="640"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（三）审核方式：核准制，企业是否新增入库以区统计部门的正式数据为准。</w:t>
      </w:r>
    </w:p>
    <w:p>
      <w:pPr>
        <w:pStyle w:val="6"/>
        <w:shd w:val="clear" w:color="auto" w:fill="FFFFFF"/>
        <w:adjustRightInd w:val="0"/>
        <w:snapToGrid w:val="0"/>
        <w:spacing w:before="0" w:beforeAutospacing="0" w:after="0" w:afterAutospacing="0" w:line="560" w:lineRule="exact"/>
        <w:ind w:firstLine="643" w:firstLineChars="200"/>
        <w:rPr>
          <w:rFonts w:ascii="仿宋_GB2312" w:hAnsi="Arial" w:eastAsia="仿宋_GB2312" w:cs="Arial"/>
          <w:b/>
          <w:bCs/>
          <w:color w:val="auto"/>
          <w:sz w:val="32"/>
          <w:szCs w:val="32"/>
        </w:rPr>
      </w:pPr>
      <w:r>
        <w:rPr>
          <w:rFonts w:hint="eastAsia" w:ascii="仿宋_GB2312" w:hAnsi="Arial" w:eastAsia="仿宋_GB2312" w:cs="Arial"/>
          <w:b/>
          <w:bCs/>
          <w:color w:val="auto"/>
          <w:kern w:val="2"/>
          <w:sz w:val="32"/>
          <w:szCs w:val="32"/>
        </w:rPr>
        <w:t>第九条</w:t>
      </w:r>
      <w:r>
        <w:rPr>
          <w:rFonts w:hint="eastAsia" w:ascii="仿宋_GB2312" w:eastAsia="仿宋_GB2312"/>
          <w:b/>
          <w:bCs/>
          <w:color w:val="auto"/>
        </w:rPr>
        <w:t xml:space="preserve"> </w:t>
      </w:r>
      <w:r>
        <w:rPr>
          <w:rFonts w:hint="eastAsia" w:ascii="仿宋_GB2312" w:hAnsi="Arial" w:eastAsia="仿宋_GB2312" w:cs="Arial"/>
          <w:b/>
          <w:bCs/>
          <w:color w:val="auto"/>
          <w:sz w:val="32"/>
          <w:szCs w:val="32"/>
        </w:rPr>
        <w:t>工业企业促产能扶持项目</w:t>
      </w:r>
    </w:p>
    <w:p>
      <w:pPr>
        <w:adjustRightInd w:val="0"/>
        <w:snapToGrid w:val="0"/>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（一）扶持范围：</w:t>
      </w:r>
      <w:r>
        <w:rPr>
          <w:rFonts w:hint="eastAsia" w:ascii="仿宋_GB2312" w:hAnsi="仿宋_GB2312" w:eastAsia="仿宋_GB2312" w:cs="仿宋_GB2312"/>
          <w:kern w:val="0"/>
          <w:sz w:val="32"/>
          <w:szCs w:val="32"/>
        </w:rPr>
        <w:t>年产值相比上一年度实现了正增长，且增速符合一定条件的工业企业。</w:t>
      </w:r>
    </w:p>
    <w:p>
      <w:pPr>
        <w:pStyle w:val="6"/>
        <w:shd w:val="clear" w:color="auto" w:fill="FFFFFF"/>
        <w:adjustRightInd w:val="0"/>
        <w:snapToGrid w:val="0"/>
        <w:spacing w:before="0" w:beforeAutospacing="0" w:after="0" w:afterAutospacing="0" w:line="560" w:lineRule="exact"/>
        <w:ind w:firstLine="640"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（二）资助方式和标准：</w:t>
      </w:r>
    </w:p>
    <w:p>
      <w:pPr>
        <w:pStyle w:val="6"/>
        <w:shd w:val="clear" w:color="auto" w:fill="FFFFFF"/>
        <w:adjustRightInd w:val="0"/>
        <w:snapToGrid w:val="0"/>
        <w:spacing w:before="0" w:beforeAutospacing="0" w:after="0" w:afterAutospacing="0" w:line="560" w:lineRule="exact"/>
        <w:ind w:firstLine="640"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1.年产值超过100亿（含100亿）的工业企业，产值增速超过10%的，按其产值相比上一年度的增加部分的0.2%给予奖励，不超过500万元。</w:t>
      </w:r>
    </w:p>
    <w:p>
      <w:pPr>
        <w:pStyle w:val="6"/>
        <w:shd w:val="clear" w:color="auto" w:fill="FFFFFF"/>
        <w:adjustRightInd w:val="0"/>
        <w:snapToGrid w:val="0"/>
        <w:spacing w:before="0" w:beforeAutospacing="0" w:after="0" w:afterAutospacing="0" w:line="560" w:lineRule="exact"/>
        <w:ind w:firstLine="640"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2.年产值超过10亿（含10亿）且低于100亿的工业企业，产值增速超过15%的，按其产值相比上一年度的增加部分的0.2%给予奖励，不超过300万元。</w:t>
      </w:r>
    </w:p>
    <w:p>
      <w:pPr>
        <w:pStyle w:val="6"/>
        <w:shd w:val="clear" w:color="auto" w:fill="FFFFFF"/>
        <w:adjustRightInd w:val="0"/>
        <w:snapToGrid w:val="0"/>
        <w:spacing w:before="0" w:beforeAutospacing="0" w:after="0" w:afterAutospacing="0" w:line="560" w:lineRule="exact"/>
        <w:ind w:firstLine="640"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3.年产值超过1亿（含1亿）且低于10亿的工业企业，产值增速超过20%的，按其产值相比上一年度的增加部分的0.2%给予奖励，不超过100万元。</w:t>
      </w:r>
    </w:p>
    <w:p>
      <w:pPr>
        <w:pStyle w:val="6"/>
        <w:shd w:val="clear" w:color="auto" w:fill="FFFFFF"/>
        <w:adjustRightInd w:val="0"/>
        <w:snapToGrid w:val="0"/>
        <w:spacing w:before="0" w:beforeAutospacing="0" w:after="0" w:afterAutospacing="0" w:line="560" w:lineRule="exact"/>
        <w:ind w:firstLine="640"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（三）审核方式：核准制，企业产值和增速以区统计部门数据为准。</w:t>
      </w:r>
    </w:p>
    <w:p>
      <w:pPr>
        <w:pStyle w:val="6"/>
        <w:shd w:val="clear" w:color="auto" w:fill="FFFFFF"/>
        <w:adjustRightInd w:val="0"/>
        <w:snapToGrid w:val="0"/>
        <w:spacing w:before="0" w:beforeAutospacing="0" w:after="0" w:afterAutospacing="0" w:line="560" w:lineRule="exact"/>
        <w:ind w:firstLine="643" w:firstLineChars="200"/>
        <w:rPr>
          <w:rFonts w:ascii="仿宋_GB2312" w:hAnsi="Arial" w:eastAsia="仿宋_GB2312" w:cs="Arial"/>
          <w:b/>
          <w:bCs/>
          <w:color w:val="auto"/>
          <w:sz w:val="32"/>
          <w:szCs w:val="32"/>
        </w:rPr>
      </w:pPr>
      <w:r>
        <w:rPr>
          <w:rFonts w:hint="eastAsia" w:ascii="仿宋_GB2312" w:hAnsi="Arial" w:eastAsia="仿宋_GB2312" w:cs="Arial"/>
          <w:b/>
          <w:bCs/>
          <w:color w:val="auto"/>
          <w:kern w:val="2"/>
          <w:sz w:val="32"/>
          <w:szCs w:val="32"/>
        </w:rPr>
        <w:t xml:space="preserve">第十条 </w:t>
      </w:r>
      <w:r>
        <w:rPr>
          <w:rFonts w:hint="eastAsia" w:ascii="仿宋_GB2312" w:hAnsi="Arial" w:eastAsia="仿宋_GB2312" w:cs="Arial"/>
          <w:b/>
          <w:bCs/>
          <w:color w:val="auto"/>
          <w:sz w:val="32"/>
          <w:szCs w:val="32"/>
        </w:rPr>
        <w:t>技术改造扶持项目</w:t>
      </w:r>
    </w:p>
    <w:p>
      <w:pPr>
        <w:adjustRightInd w:val="0"/>
        <w:snapToGrid w:val="0"/>
        <w:spacing w:line="560" w:lineRule="exact"/>
        <w:ind w:firstLine="640" w:firstLineChars="200"/>
      </w:pPr>
      <w:r>
        <w:rPr>
          <w:rFonts w:hint="eastAsia" w:ascii="仿宋_GB2312" w:hAnsi="Arial" w:eastAsia="仿宋_GB2312" w:cs="Arial"/>
          <w:color w:val="000000" w:themeColor="text1"/>
          <w:kern w:val="0"/>
          <w:sz w:val="32"/>
          <w:szCs w:val="32"/>
          <w14:textFill>
            <w14:solidFill>
              <w14:schemeClr w14:val="tx1"/>
            </w14:solidFill>
          </w14:textFill>
        </w:rPr>
        <w:t>（一）扶持范围：对纳入区工业投资统计库的企业技术改造投资予以资助。鼓励企业实现扩大产能规模、提升生产效率、提高产品质量、促进技术装备和产品更新换代、低碳绿色环保、节能降耗、安全生产，以及向数字化、网络化和智能化转型，提高经济和社会效益。</w:t>
      </w:r>
    </w:p>
    <w:p>
      <w:pPr>
        <w:adjustRightInd w:val="0"/>
        <w:snapToGrid w:val="0"/>
        <w:spacing w:line="560" w:lineRule="exact"/>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（二）资助方式和标准：</w:t>
      </w:r>
    </w:p>
    <w:p>
      <w:pPr>
        <w:adjustRightInd w:val="0"/>
        <w:snapToGrid w:val="0"/>
        <w:spacing w:line="560" w:lineRule="exact"/>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1.企业的技术改造年度投资额在500万元（含）至3000万元（含）的，按年度给予投资额15%的资助，最高不超过450万元。</w:t>
      </w:r>
    </w:p>
    <w:p>
      <w:pPr>
        <w:adjustRightInd w:val="0"/>
        <w:snapToGrid w:val="0"/>
        <w:spacing w:line="560" w:lineRule="exact"/>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2.企业年度投资额3000万元至1亿元（含），除按上述第1条内容给予资助外，再按投资额超出3000万元部分的10%给予资助，最高不超过700万元。</w:t>
      </w:r>
    </w:p>
    <w:p>
      <w:pPr>
        <w:adjustRightInd w:val="0"/>
        <w:snapToGrid w:val="0"/>
        <w:spacing w:line="560" w:lineRule="exact"/>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3.企业年度投资额超过1亿元的，除按上述第1、2条内容给予资助外，再按投资额超出1亿元部分的5%给予资助。</w:t>
      </w:r>
    </w:p>
    <w:p>
      <w:pPr>
        <w:adjustRightInd w:val="0"/>
        <w:snapToGrid w:val="0"/>
        <w:spacing w:line="560" w:lineRule="exact"/>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4.单个项目市、区资助总额不超过项目投入50%，区资助总额最高不超过5000万元。</w:t>
      </w:r>
    </w:p>
    <w:p>
      <w:pPr>
        <w:pStyle w:val="6"/>
        <w:shd w:val="clear" w:color="auto" w:fill="FFFFFF"/>
        <w:adjustRightInd w:val="0"/>
        <w:snapToGrid w:val="0"/>
        <w:spacing w:before="0" w:beforeAutospacing="0" w:after="0" w:afterAutospacing="0" w:line="560" w:lineRule="exact"/>
        <w:ind w:firstLine="640" w:firstLineChars="200"/>
        <w:rPr>
          <w:rFonts w:ascii="仿宋_GB2312" w:hAnsi="Arial" w:eastAsia="仿宋_GB2312" w:cs="Arial"/>
          <w:color w:val="auto"/>
          <w:sz w:val="32"/>
          <w:szCs w:val="32"/>
        </w:rPr>
      </w:pPr>
      <w:r>
        <w:rPr>
          <w:rFonts w:hint="eastAsia" w:ascii="仿宋_GB2312" w:hAnsi="Arial" w:eastAsia="仿宋_GB2312" w:cs="Arial"/>
          <w:color w:val="000000" w:themeColor="text1"/>
          <w:sz w:val="32"/>
          <w:szCs w:val="32"/>
          <w14:textFill>
            <w14:solidFill>
              <w14:schemeClr w14:val="tx1"/>
            </w14:solidFill>
          </w14:textFill>
        </w:rPr>
        <w:t>（三）审核方式：核准制，技术改造的投资额以区统计部门数据为准。按上述标准确定拟扶持金额后，最终扶持金额由区工信局综合年度资金规模进行确定。</w:t>
      </w:r>
    </w:p>
    <w:p>
      <w:pPr>
        <w:pStyle w:val="6"/>
        <w:shd w:val="clear" w:color="auto" w:fill="FFFFFF"/>
        <w:adjustRightInd w:val="0"/>
        <w:snapToGrid w:val="0"/>
        <w:spacing w:before="0" w:beforeAutospacing="0" w:after="0" w:afterAutospacing="0" w:line="560" w:lineRule="exact"/>
        <w:ind w:firstLine="643" w:firstLineChars="200"/>
        <w:rPr>
          <w:rFonts w:ascii="仿宋_GB2312" w:hAnsi="Arial" w:eastAsia="仿宋_GB2312" w:cs="Arial"/>
          <w:b/>
          <w:bCs/>
          <w:color w:val="auto"/>
          <w:kern w:val="2"/>
          <w:sz w:val="32"/>
          <w:szCs w:val="32"/>
        </w:rPr>
      </w:pPr>
      <w:r>
        <w:rPr>
          <w:rFonts w:hint="eastAsia" w:ascii="仿宋_GB2312" w:hAnsi="Arial" w:eastAsia="仿宋_GB2312" w:cs="Arial"/>
          <w:b/>
          <w:bCs/>
          <w:color w:val="auto"/>
          <w:kern w:val="2"/>
          <w:sz w:val="32"/>
          <w:szCs w:val="32"/>
        </w:rPr>
        <w:t xml:space="preserve">第十一条 </w:t>
      </w:r>
      <w:bookmarkStart w:id="0" w:name="_Hlk71821619"/>
      <w:r>
        <w:rPr>
          <w:rFonts w:hint="eastAsia" w:ascii="仿宋_GB2312" w:hAnsi="Arial" w:eastAsia="仿宋_GB2312" w:cs="Arial"/>
          <w:b/>
          <w:bCs/>
          <w:color w:val="auto"/>
          <w:kern w:val="2"/>
          <w:sz w:val="32"/>
          <w:szCs w:val="32"/>
        </w:rPr>
        <w:t>企业专业化发展扶持项目</w:t>
      </w:r>
      <w:bookmarkEnd w:id="0"/>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（一）扶持范围：获得国家制造业</w:t>
      </w:r>
      <w:r>
        <w:rPr>
          <w:rFonts w:hint="eastAsia" w:ascii="仿宋_GB2312" w:hAnsi="Arial" w:eastAsia="仿宋_GB2312" w:cs="Arial"/>
          <w:sz w:val="32"/>
          <w:szCs w:val="32"/>
        </w:rPr>
        <w:t>单项冠军示范企业或单项冠军产品称号的企业、国家专精特新“小巨人”企业或省专精特新企业。</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（二）资助方式和标准：</w:t>
      </w:r>
    </w:p>
    <w:p>
      <w:pPr>
        <w:pStyle w:val="6"/>
        <w:shd w:val="clear" w:color="auto" w:fill="FFFFFF"/>
        <w:adjustRightInd w:val="0"/>
        <w:snapToGrid w:val="0"/>
        <w:spacing w:before="0" w:beforeAutospacing="0" w:after="0" w:afterAutospacing="0" w:line="560" w:lineRule="exact"/>
        <w:ind w:firstLine="643" w:firstLineChars="200"/>
        <w:jc w:val="both"/>
        <w:rPr>
          <w:rFonts w:ascii="仿宋_GB2312" w:hAnsi="Arial" w:eastAsia="仿宋_GB2312" w:cs="Arial"/>
          <w:sz w:val="32"/>
          <w:szCs w:val="32"/>
          <w:u w:val="single"/>
        </w:rPr>
      </w:pPr>
      <w:r>
        <w:rPr>
          <w:rFonts w:hint="eastAsia" w:ascii="仿宋_GB2312" w:hAnsi="Arial" w:eastAsia="仿宋_GB2312" w:cs="Arial"/>
          <w:b/>
          <w:bCs/>
          <w:sz w:val="32"/>
          <w:szCs w:val="32"/>
          <w:u w:val="single"/>
        </w:rPr>
        <w:t>获评省专精特新企业，给予10万元的一次性奖励；获评国家专精特新“小巨人”企业，给予20万元的一次性奖励，如已获得省专精特新企业奖励后再获国家专精特新“小巨人”企业的，按20万元</w:t>
      </w:r>
      <w:r>
        <w:rPr>
          <w:rFonts w:hint="eastAsia" w:ascii="仿宋_GB2312" w:hAnsi="Arial" w:eastAsia="仿宋_GB2312" w:cs="Arial"/>
          <w:b/>
          <w:bCs/>
          <w:color w:val="auto"/>
          <w:sz w:val="32"/>
          <w:szCs w:val="32"/>
          <w:u w:val="single"/>
        </w:rPr>
        <w:t>补齐差额；</w:t>
      </w:r>
      <w:r>
        <w:rPr>
          <w:rFonts w:hint="eastAsia" w:ascii="仿宋_GB2312" w:hAnsi="Arial" w:eastAsia="仿宋_GB2312" w:cs="Arial"/>
          <w:b/>
          <w:bCs/>
          <w:sz w:val="32"/>
          <w:szCs w:val="32"/>
          <w:u w:val="single"/>
        </w:rPr>
        <w:t>获得国家单项冠军产品称号的企业，给予50万元的一次性奖励；获得国家制造业单项冠军示范企业的，给予100万元的一次性奖励，如已获得国家单项冠军产品奖励的企业再获得单项冠军示范企业的，按100万元</w:t>
      </w:r>
      <w:r>
        <w:rPr>
          <w:rFonts w:hint="eastAsia" w:ascii="仿宋_GB2312" w:hAnsi="Arial" w:eastAsia="仿宋_GB2312" w:cs="Arial"/>
          <w:b/>
          <w:bCs/>
          <w:color w:val="auto"/>
          <w:sz w:val="32"/>
          <w:szCs w:val="32"/>
          <w:u w:val="single"/>
        </w:rPr>
        <w:t>补齐差额。</w:t>
      </w:r>
    </w:p>
    <w:p>
      <w:pPr>
        <w:pStyle w:val="6"/>
        <w:numPr>
          <w:ilvl w:val="0"/>
          <w:numId w:val="4"/>
        </w:numPr>
        <w:shd w:val="clear" w:color="auto" w:fill="FFFFFF"/>
        <w:adjustRightInd w:val="0"/>
        <w:snapToGrid w:val="0"/>
        <w:spacing w:before="0" w:beforeAutospacing="0" w:after="0" w:afterAutospacing="0" w:line="560" w:lineRule="exact"/>
        <w:ind w:firstLine="640" w:firstLineChars="200"/>
        <w:jc w:val="both"/>
        <w:rPr>
          <w:rFonts w:ascii="仿宋_GB2312" w:hAnsi="仿宋" w:eastAsia="仿宋_GB2312" w:cs="Arial"/>
          <w:color w:val="auto"/>
          <w:sz w:val="32"/>
          <w:szCs w:val="32"/>
        </w:rPr>
      </w:pPr>
      <w:r>
        <w:rPr>
          <w:rFonts w:hint="eastAsia" w:ascii="仿宋_GB2312" w:hAnsi="仿宋" w:eastAsia="仿宋_GB2312" w:cs="Arial"/>
          <w:color w:val="auto"/>
          <w:sz w:val="32"/>
          <w:szCs w:val="32"/>
        </w:rPr>
        <w:t>审核方式：核准制，以国家或省的工</w:t>
      </w:r>
      <w:bookmarkStart w:id="1" w:name="_GoBack"/>
      <w:bookmarkEnd w:id="1"/>
      <w:r>
        <w:rPr>
          <w:rFonts w:hint="eastAsia" w:ascii="仿宋_GB2312" w:hAnsi="仿宋" w:eastAsia="仿宋_GB2312" w:cs="Arial"/>
          <w:color w:val="auto"/>
          <w:sz w:val="32"/>
          <w:szCs w:val="32"/>
        </w:rPr>
        <w:t>业和信息化主管部门发布的文件或证书为准。</w:t>
      </w:r>
    </w:p>
    <w:p>
      <w:pPr>
        <w:pStyle w:val="6"/>
        <w:shd w:val="clear" w:color="auto" w:fill="FFFFFF"/>
        <w:adjustRightInd w:val="0"/>
        <w:snapToGrid w:val="0"/>
        <w:spacing w:before="0" w:beforeAutospacing="0" w:after="0" w:afterAutospacing="0" w:line="560" w:lineRule="exact"/>
        <w:ind w:firstLine="643" w:firstLineChars="200"/>
        <w:rPr>
          <w:rFonts w:ascii="仿宋_GB2312" w:hAnsi="Arial" w:eastAsia="仿宋_GB2312" w:cs="Arial"/>
          <w:b/>
          <w:bCs/>
          <w:color w:val="auto"/>
          <w:sz w:val="32"/>
          <w:szCs w:val="32"/>
        </w:rPr>
      </w:pPr>
      <w:r>
        <w:rPr>
          <w:rFonts w:hint="eastAsia" w:ascii="仿宋_GB2312" w:hAnsi="Arial" w:eastAsia="仿宋_GB2312" w:cs="Arial"/>
          <w:b/>
          <w:bCs/>
          <w:color w:val="auto"/>
          <w:kern w:val="2"/>
          <w:sz w:val="32"/>
          <w:szCs w:val="32"/>
        </w:rPr>
        <w:t>第十二条</w:t>
      </w:r>
      <w:r>
        <w:rPr>
          <w:rFonts w:hint="eastAsia" w:ascii="仿宋_GB2312" w:eastAsia="仿宋_GB2312"/>
          <w:b/>
          <w:bCs/>
          <w:color w:val="auto"/>
        </w:rPr>
        <w:t xml:space="preserve"> </w:t>
      </w:r>
      <w:r>
        <w:rPr>
          <w:rFonts w:hint="eastAsia" w:ascii="仿宋_GB2312" w:hAnsi="Arial" w:eastAsia="仿宋_GB2312" w:cs="Arial"/>
          <w:b/>
          <w:bCs/>
          <w:color w:val="auto"/>
          <w:sz w:val="32"/>
          <w:szCs w:val="32"/>
        </w:rPr>
        <w:t>企业上市扶持项目</w:t>
      </w:r>
    </w:p>
    <w:p>
      <w:pPr>
        <w:adjustRightInd w:val="0"/>
        <w:snapToGrid w:val="0"/>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（一）扶持范围：已完成境内首次公开发行股票（IPO）的企业</w:t>
      </w:r>
      <w:r>
        <w:rPr>
          <w:rFonts w:hint="eastAsia" w:ascii="仿宋_GB2312" w:hAnsi="仿宋_GB2312" w:eastAsia="仿宋_GB2312" w:cs="仿宋_GB2312"/>
          <w:kern w:val="0"/>
          <w:sz w:val="32"/>
          <w:szCs w:val="32"/>
        </w:rPr>
        <w:t>；</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（二）资助方式和标准：</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给予350万元的一次性奖励；已获得过我区原上市配套扶持政策的新三板扶持或阶段扶持的企业，完成首次公开发行股票后按350万元补齐差额。</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（三）审核方式：核准制，以境内证券主管</w:t>
      </w:r>
      <w:r>
        <w:rPr>
          <w:rFonts w:hint="eastAsia" w:ascii="仿宋_GB2312" w:hAnsi="Arial" w:eastAsia="仿宋_GB2312" w:cs="Arial"/>
          <w:sz w:val="32"/>
          <w:szCs w:val="32"/>
        </w:rPr>
        <w:t>部门</w:t>
      </w:r>
      <w:r>
        <w:rPr>
          <w:rFonts w:hint="eastAsia" w:ascii="仿宋_GB2312" w:hAnsi="Arial" w:eastAsia="仿宋_GB2312" w:cs="Arial"/>
          <w:color w:val="auto"/>
          <w:sz w:val="32"/>
          <w:szCs w:val="32"/>
        </w:rPr>
        <w:t>出具的，能够证明该企业已办理上市相关手续的文件为准。</w:t>
      </w:r>
    </w:p>
    <w:p>
      <w:pPr>
        <w:shd w:val="clear" w:color="auto" w:fill="FFFFFF"/>
        <w:adjustRightInd w:val="0"/>
        <w:snapToGrid w:val="0"/>
        <w:spacing w:line="560" w:lineRule="exact"/>
        <w:ind w:firstLine="643" w:firstLineChars="200"/>
        <w:rPr>
          <w:rFonts w:ascii="仿宋_GB2312" w:hAnsi="Arial" w:eastAsia="仿宋_GB2312" w:cs="Arial"/>
          <w:b/>
          <w:bCs/>
          <w:sz w:val="32"/>
          <w:szCs w:val="32"/>
        </w:rPr>
      </w:pPr>
      <w:r>
        <w:rPr>
          <w:rFonts w:hint="eastAsia" w:ascii="仿宋_GB2312" w:hAnsi="Arial" w:eastAsia="仿宋_GB2312" w:cs="Arial"/>
          <w:b/>
          <w:bCs/>
          <w:sz w:val="32"/>
          <w:szCs w:val="32"/>
        </w:rPr>
        <w:t>第十三条</w:t>
      </w:r>
      <w:r>
        <w:rPr>
          <w:rFonts w:hint="eastAsia" w:ascii="仿宋_GB2312" w:eastAsia="仿宋_GB2312"/>
          <w:b/>
          <w:bCs/>
        </w:rPr>
        <w:t xml:space="preserve"> </w:t>
      </w:r>
      <w:r>
        <w:rPr>
          <w:rFonts w:hint="eastAsia" w:ascii="仿宋_GB2312" w:hAnsi="Arial" w:eastAsia="仿宋_GB2312" w:cs="Arial"/>
          <w:b/>
          <w:bCs/>
          <w:sz w:val="32"/>
          <w:szCs w:val="32"/>
        </w:rPr>
        <w:t>上市企业投资扶持项目</w:t>
      </w:r>
    </w:p>
    <w:p>
      <w:pPr>
        <w:adjustRightInd w:val="0"/>
        <w:snapToGrid w:val="0"/>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一）扶持范围：境内首次公开发行股票（IPO）后五年内将募集的资金（含募集资金置换预先投入的自筹资金，下同），用于龙岗固定资产投资的企业；境内上市企业再融资（含增发及可转债），在融资后五年内将再融资的资金用于龙岗固定资产投资的企业。</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（二）资助方式和标准：</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1.上市企业首次公开发行股票募集资金用于区内投资，投资规模不低于3亿元，或其投资额占募集资金净额的50%以上且投资规模不低于1亿元，奖励1000万元；投资规模不低于6亿元，或其投资额占募集资金净额的80%以上且投资规模不低于2亿元，奖励2000万元。</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2.上市企业再融资用于区内投资，投资规模不低于3亿元，或其投资额占再融资资金（指募集资金净额，下同）的50%以上且投资规模不低于1亿元，奖励1000万元；投资规模不低于6亿元，或其投资额占再融资资金的80%以上且投资规模不低于2亿元，奖励2000万元。</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（三）审核方式：核准制，以区统计部门查证数据及第三方机构专项审计结果为准。</w:t>
      </w:r>
    </w:p>
    <w:p>
      <w:pPr>
        <w:pStyle w:val="6"/>
        <w:shd w:val="clear" w:color="auto" w:fill="FFFFFF"/>
        <w:adjustRightInd w:val="0"/>
        <w:snapToGrid w:val="0"/>
        <w:spacing w:before="0" w:beforeAutospacing="0" w:after="0" w:afterAutospacing="0" w:line="560" w:lineRule="exact"/>
        <w:ind w:firstLine="643" w:firstLineChars="200"/>
        <w:jc w:val="both"/>
        <w:rPr>
          <w:rFonts w:ascii="仿宋_GB2312" w:hAnsi="Arial" w:eastAsia="仿宋_GB2312" w:cs="Arial"/>
          <w:b/>
          <w:bCs/>
          <w:color w:val="auto"/>
          <w:sz w:val="32"/>
          <w:szCs w:val="32"/>
        </w:rPr>
      </w:pPr>
      <w:r>
        <w:rPr>
          <w:rFonts w:hint="eastAsia" w:ascii="仿宋_GB2312" w:hAnsi="Arial" w:eastAsia="仿宋_GB2312" w:cs="Arial"/>
          <w:b/>
          <w:bCs/>
          <w:color w:val="auto"/>
          <w:sz w:val="32"/>
          <w:szCs w:val="32"/>
        </w:rPr>
        <w:t>第十四条 战略性新兴产业扶持项目</w:t>
      </w:r>
    </w:p>
    <w:p>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（一）扶持范围：获得市级新兴产业扶持计划或新一代信息技术产业扶持计划认定的龙岗区战略性新兴产业项目。</w:t>
      </w:r>
    </w:p>
    <w:p>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（二）资助方式和标准：对获得市级相关认定的项目，根据市级扶持资金的30%给予配套扶持，单个项目的扶持额最高不超过100万元。企业应在获得相关扶持资金的当年或第二年提交扶持申请。</w:t>
      </w:r>
    </w:p>
    <w:p>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（三）审核方式：核准制，以企业获得市级新兴产业扶持计划或新一代信息技术产业扶持计划认定或扶持的有关文件，以及拨款经费进账凭证为准。</w:t>
      </w:r>
    </w:p>
    <w:p>
      <w:pPr>
        <w:pStyle w:val="6"/>
        <w:shd w:val="clear" w:color="auto" w:fill="FFFFFF"/>
        <w:adjustRightInd w:val="0"/>
        <w:snapToGrid w:val="0"/>
        <w:spacing w:before="0" w:beforeAutospacing="0" w:after="0" w:afterAutospacing="0" w:line="520" w:lineRule="exact"/>
        <w:ind w:firstLine="643" w:firstLineChars="200"/>
        <w:rPr>
          <w:rFonts w:ascii="仿宋_GB2312" w:hAnsi="Arial" w:eastAsia="仿宋_GB2312" w:cs="Arial"/>
          <w:b/>
          <w:bCs/>
          <w:color w:val="auto"/>
          <w:sz w:val="32"/>
          <w:szCs w:val="32"/>
        </w:rPr>
      </w:pPr>
      <w:r>
        <w:rPr>
          <w:rFonts w:hint="eastAsia" w:ascii="仿宋_GB2312" w:hAnsi="Arial" w:eastAsia="仿宋_GB2312" w:cs="Arial"/>
          <w:b/>
          <w:bCs/>
          <w:color w:val="auto"/>
          <w:sz w:val="32"/>
          <w:szCs w:val="32"/>
        </w:rPr>
        <w:t>第十五条 工业互联网重大活动扶持项目</w:t>
      </w:r>
    </w:p>
    <w:p>
      <w:pPr>
        <w:pStyle w:val="2"/>
        <w:spacing w:line="520" w:lineRule="exact"/>
        <w:ind w:firstLine="640" w:firstLineChars="200"/>
        <w:rPr>
          <w:rFonts w:ascii="仿宋_GB2312" w:hAnsi="仿宋" w:eastAsia="仿宋_GB2312" w:cs="仿宋"/>
          <w:sz w:val="32"/>
          <w:szCs w:val="32"/>
        </w:rPr>
      </w:pPr>
      <w:r>
        <w:rPr>
          <w:rFonts w:hint="eastAsia" w:ascii="仿宋_GB2312" w:hAnsi="仿宋_GB2312" w:eastAsia="仿宋_GB2312" w:cs="仿宋_GB2312"/>
          <w:color w:val="000000" w:themeColor="text1"/>
          <w:sz w:val="32"/>
          <w:shd w:val="clear" w:color="auto" w:fill="FFFFFF"/>
          <w14:textFill>
            <w14:solidFill>
              <w14:schemeClr w14:val="tx1"/>
            </w14:solidFill>
          </w14:textFill>
        </w:rPr>
        <w:t>（一）扶持范围：注册在龙岗区的</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工业互联网及工业软件联盟、行业协会或企业</w:t>
      </w:r>
      <w:r>
        <w:rPr>
          <w:rFonts w:hint="eastAsia" w:ascii="仿宋_GB2312" w:hAnsi="仿宋" w:eastAsia="仿宋_GB2312" w:cs="仿宋"/>
          <w:sz w:val="32"/>
          <w:szCs w:val="32"/>
        </w:rPr>
        <w:t>。</w:t>
      </w:r>
    </w:p>
    <w:p>
      <w:pPr>
        <w:pStyle w:val="2"/>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（二）扶持方式和标准：</w:t>
      </w:r>
    </w:p>
    <w:p>
      <w:pPr>
        <w:pStyle w:val="2"/>
        <w:spacing w:line="520" w:lineRule="exact"/>
        <w:ind w:firstLine="640" w:firstLineChars="200"/>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仿宋"/>
          <w:sz w:val="32"/>
          <w:szCs w:val="32"/>
        </w:rPr>
        <w:t>1.</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对其在龙岗主办的工业互联网及工业软件大赛或峰会等活动，按相关整体费用给予全额资助，最高不超过100万元。</w:t>
      </w:r>
    </w:p>
    <w:p>
      <w:pPr>
        <w:pStyle w:val="2"/>
        <w:spacing w:line="520" w:lineRule="exact"/>
        <w:ind w:firstLine="640" w:firstLineChars="200"/>
        <w:rPr>
          <w:rFonts w:ascii="仿宋_GB2312" w:hAnsi="仿宋" w:eastAsia="仿宋_GB2312" w:cs="仿宋"/>
          <w:sz w:val="32"/>
          <w:szCs w:val="32"/>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2.对其在龙岗举办的公益性工业互联网及工业软件活动或公共服务类项目活动，按相关整体费用给予全额资助，最高不超过100万元。</w:t>
      </w:r>
    </w:p>
    <w:p>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审核方式：核准制，相关费用以第三方专项审计数据为准。申报单位需提交活动实施方案和总结报告原件，重点内容包括但不限于活动的主题、规模、经费、人员、场地保障、产业链相关参会方、实施方案、宣传效果、安全保障等。此外还需提供相关费用的合同复印件、发票复印件，以及活动举办情况的文字资料和照片等。</w:t>
      </w:r>
    </w:p>
    <w:p>
      <w:pPr>
        <w:pStyle w:val="6"/>
        <w:shd w:val="clear" w:color="auto" w:fill="FFFFFF"/>
        <w:adjustRightInd w:val="0"/>
        <w:snapToGrid w:val="0"/>
        <w:spacing w:before="0" w:beforeAutospacing="0" w:after="0" w:afterAutospacing="0" w:line="560" w:lineRule="exact"/>
        <w:ind w:firstLine="643" w:firstLineChars="200"/>
        <w:rPr>
          <w:rFonts w:ascii="仿宋_GB2312" w:hAnsi="Arial" w:eastAsia="仿宋_GB2312" w:cs="Arial"/>
          <w:b/>
          <w:bCs/>
          <w:color w:val="auto"/>
          <w:sz w:val="32"/>
          <w:szCs w:val="32"/>
        </w:rPr>
      </w:pPr>
      <w:r>
        <w:rPr>
          <w:rFonts w:hint="eastAsia" w:ascii="仿宋_GB2312" w:hAnsi="Arial" w:eastAsia="仿宋_GB2312" w:cs="Arial"/>
          <w:b/>
          <w:bCs/>
          <w:color w:val="auto"/>
          <w:kern w:val="2"/>
          <w:sz w:val="32"/>
          <w:szCs w:val="32"/>
        </w:rPr>
        <w:t>第十六条</w:t>
      </w:r>
      <w:r>
        <w:rPr>
          <w:rFonts w:hint="eastAsia" w:ascii="仿宋_GB2312" w:eastAsia="仿宋_GB2312"/>
          <w:b/>
          <w:bCs/>
          <w:color w:val="auto"/>
        </w:rPr>
        <w:t xml:space="preserve"> </w:t>
      </w:r>
      <w:r>
        <w:rPr>
          <w:rFonts w:hint="eastAsia" w:ascii="仿宋_GB2312" w:hAnsi="Arial" w:eastAsia="仿宋_GB2312" w:cs="Arial"/>
          <w:b/>
          <w:bCs/>
          <w:color w:val="auto"/>
          <w:sz w:val="32"/>
          <w:szCs w:val="32"/>
        </w:rPr>
        <w:t>时尚产业扶持项目</w:t>
      </w:r>
    </w:p>
    <w:p>
      <w:pPr>
        <w:adjustRightInd w:val="0"/>
        <w:snapToGrid w:val="0"/>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sz w:val="32"/>
          <w:szCs w:val="32"/>
        </w:rPr>
        <w:t>（一）扶持范围：</w:t>
      </w:r>
      <w:r>
        <w:rPr>
          <w:rFonts w:hint="eastAsia" w:ascii="仿宋_GB2312" w:hAnsi="Arial" w:eastAsia="仿宋_GB2312" w:cs="Arial"/>
          <w:kern w:val="0"/>
          <w:sz w:val="32"/>
          <w:szCs w:val="32"/>
        </w:rPr>
        <w:t>获得深圳市时尚产业高质量发展扶持计划（包括关键技术与核心零部件攻关、竞争力提升应用创新、产业支撑体系、行业重大活动、国际化拓展）的龙岗区企业。</w:t>
      </w:r>
    </w:p>
    <w:p>
      <w:pPr>
        <w:adjustRightInd w:val="0"/>
        <w:snapToGrid w:val="0"/>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（二）资助方式和标准：</w:t>
      </w:r>
    </w:p>
    <w:p>
      <w:pPr>
        <w:adjustRightInd w:val="0"/>
        <w:snapToGrid w:val="0"/>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按照深圳市扶持额的50％给予配套，最高不超过400万元。</w:t>
      </w:r>
    </w:p>
    <w:p>
      <w:pPr>
        <w:pStyle w:val="6"/>
        <w:numPr>
          <w:ilvl w:val="0"/>
          <w:numId w:val="5"/>
        </w:numPr>
        <w:shd w:val="clear" w:color="auto" w:fill="FFFFFF"/>
        <w:adjustRightInd w:val="0"/>
        <w:snapToGrid w:val="0"/>
        <w:spacing w:before="0" w:beforeAutospacing="0" w:after="0" w:afterAutospacing="0" w:line="560" w:lineRule="exact"/>
        <w:ind w:firstLine="640"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审核方式：核准制，以企业获得市时尚产业高质量发展扶持计划扶持项目认定或资助的有关文件，以及拨款经费进账凭证为准。</w:t>
      </w:r>
    </w:p>
    <w:p>
      <w:pPr>
        <w:pStyle w:val="6"/>
        <w:shd w:val="clear" w:color="auto" w:fill="FFFFFF"/>
        <w:adjustRightInd w:val="0"/>
        <w:snapToGrid w:val="0"/>
        <w:spacing w:before="0" w:beforeAutospacing="0" w:after="0" w:afterAutospacing="0" w:line="560" w:lineRule="exact"/>
        <w:ind w:firstLine="643" w:firstLineChars="200"/>
        <w:rPr>
          <w:rFonts w:ascii="仿宋_GB2312" w:hAnsi="Arial" w:eastAsia="仿宋_GB2312" w:cs="Arial"/>
          <w:b/>
          <w:bCs/>
          <w:color w:val="auto"/>
          <w:sz w:val="32"/>
          <w:szCs w:val="32"/>
        </w:rPr>
      </w:pPr>
      <w:r>
        <w:rPr>
          <w:rFonts w:hint="eastAsia" w:ascii="仿宋_GB2312" w:hAnsi="Arial" w:eastAsia="仿宋_GB2312" w:cs="Arial"/>
          <w:b/>
          <w:bCs/>
          <w:color w:val="auto"/>
          <w:kern w:val="2"/>
          <w:sz w:val="32"/>
          <w:szCs w:val="32"/>
        </w:rPr>
        <w:t xml:space="preserve">第十七条 </w:t>
      </w:r>
      <w:r>
        <w:rPr>
          <w:rFonts w:hint="eastAsia" w:ascii="仿宋_GB2312" w:hAnsi="Arial" w:eastAsia="仿宋_GB2312" w:cs="Arial"/>
          <w:b/>
          <w:bCs/>
          <w:color w:val="auto"/>
          <w:sz w:val="32"/>
          <w:szCs w:val="32"/>
        </w:rPr>
        <w:t>产业绿色升级扶持项目</w:t>
      </w:r>
    </w:p>
    <w:p>
      <w:pPr>
        <w:adjustRightInd w:val="0"/>
        <w:snapToGrid w:val="0"/>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（一）扶持范围：</w:t>
      </w:r>
      <w:r>
        <w:rPr>
          <w:rFonts w:hint="eastAsia" w:ascii="仿宋_GB2312" w:hAnsi="仿宋" w:eastAsia="仿宋_GB2312" w:cs="仿宋"/>
          <w:sz w:val="32"/>
          <w:szCs w:val="32"/>
        </w:rPr>
        <w:t>获得工信部门产业绿色升级项目扶持的企业</w:t>
      </w:r>
      <w:r>
        <w:rPr>
          <w:rFonts w:hint="eastAsia" w:ascii="仿宋_GB2312" w:hAnsi="Arial" w:eastAsia="仿宋_GB2312" w:cs="Arial"/>
          <w:sz w:val="32"/>
          <w:szCs w:val="32"/>
        </w:rPr>
        <w:t>。</w:t>
      </w:r>
    </w:p>
    <w:p>
      <w:pPr>
        <w:adjustRightInd w:val="0"/>
        <w:snapToGrid w:val="0"/>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（二）资助方式和标准：按市级工信部门实际扶持额的25%给予配套，最高不超过250万元。</w:t>
      </w:r>
    </w:p>
    <w:p>
      <w:pPr>
        <w:adjustRightInd w:val="0"/>
        <w:snapToGrid w:val="0"/>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（三）审核方式：核准制，以市级工信部门公布的项目扶持名单为准。</w:t>
      </w:r>
    </w:p>
    <w:p>
      <w:pPr>
        <w:pStyle w:val="6"/>
        <w:shd w:val="clear" w:color="auto" w:fill="FFFFFF"/>
        <w:adjustRightInd w:val="0"/>
        <w:snapToGrid w:val="0"/>
        <w:spacing w:before="0" w:beforeAutospacing="0" w:after="0" w:afterAutospacing="0" w:line="560" w:lineRule="exact"/>
        <w:ind w:firstLine="643" w:firstLineChars="200"/>
        <w:rPr>
          <w:rFonts w:ascii="仿宋_GB2312" w:hAnsi="Arial" w:eastAsia="仿宋_GB2312" w:cs="Arial"/>
          <w:b/>
          <w:bCs/>
          <w:color w:val="auto"/>
          <w:kern w:val="2"/>
          <w:sz w:val="32"/>
          <w:szCs w:val="32"/>
        </w:rPr>
      </w:pPr>
      <w:r>
        <w:rPr>
          <w:rFonts w:hint="eastAsia" w:ascii="仿宋_GB2312" w:hAnsi="Arial" w:eastAsia="仿宋_GB2312" w:cs="Arial"/>
          <w:b/>
          <w:bCs/>
          <w:color w:val="auto"/>
          <w:kern w:val="2"/>
          <w:sz w:val="32"/>
          <w:szCs w:val="32"/>
        </w:rPr>
        <w:t>第十八条  绿色制造体系创建扶持项目</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（一）绿色工厂、绿色园区、绿色供应链、绿色产品创建扶持项目</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eastAsia="仿宋_GB2312"/>
          <w:color w:val="auto"/>
          <w:sz w:val="32"/>
          <w:szCs w:val="32"/>
        </w:rPr>
      </w:pPr>
      <w:r>
        <w:rPr>
          <w:rFonts w:hint="eastAsia" w:ascii="仿宋_GB2312" w:hAnsi="Arial" w:eastAsia="仿宋_GB2312" w:cs="Arial"/>
          <w:color w:val="auto"/>
          <w:sz w:val="32"/>
          <w:szCs w:val="32"/>
        </w:rPr>
        <w:t>1.扶持范围：</w:t>
      </w:r>
      <w:r>
        <w:rPr>
          <w:rFonts w:hint="eastAsia" w:ascii="仿宋_GB2312" w:eastAsia="仿宋_GB2312"/>
          <w:color w:val="auto"/>
          <w:sz w:val="32"/>
          <w:szCs w:val="32"/>
        </w:rPr>
        <w:t>获得工信部门绿色工厂、绿色园区、绿色供应链、绿色产品称号的企业或园区。</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2.资助方式和标准：按市级工信部门实际扶持额的50%给予配套，最高不超过25万元。</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3.审核方式：核准制，以市级工信部门公布的项目扶持名单为准。</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（二）绿色企业扶持项目</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eastAsia="仿宋_GB2312"/>
          <w:color w:val="auto"/>
          <w:sz w:val="32"/>
          <w:szCs w:val="32"/>
        </w:rPr>
      </w:pPr>
      <w:r>
        <w:rPr>
          <w:rFonts w:hint="eastAsia" w:ascii="仿宋_GB2312" w:hAnsi="Arial" w:eastAsia="仿宋_GB2312" w:cs="Arial"/>
          <w:color w:val="auto"/>
          <w:sz w:val="32"/>
          <w:szCs w:val="32"/>
        </w:rPr>
        <w:t>1.扶持范围：</w:t>
      </w:r>
      <w:r>
        <w:rPr>
          <w:rFonts w:hint="eastAsia" w:ascii="仿宋_GB2312" w:eastAsia="仿宋_GB2312"/>
          <w:color w:val="auto"/>
          <w:sz w:val="32"/>
          <w:szCs w:val="32"/>
        </w:rPr>
        <w:t>获得国家绿色企业称号的企业。</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2.资助方式和标准：按市级工信部门实际扶持额的50%给予配套，最高不超过25万元。</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3.审核方式：核准制，以市级工信部门公布的项目扶持名单为准。</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（三）绿色数据中心扶持项目</w:t>
      </w:r>
    </w:p>
    <w:p>
      <w:pPr>
        <w:adjustRightInd w:val="0"/>
        <w:snapToGrid w:val="0"/>
        <w:spacing w:line="560" w:lineRule="exact"/>
        <w:ind w:firstLine="640" w:firstLineChars="200"/>
        <w:rPr>
          <w:rFonts w:ascii="仿宋_GB2312" w:hAnsi="Arial" w:eastAsia="仿宋_GB2312" w:cs="Arial"/>
          <w:sz w:val="32"/>
          <w:szCs w:val="32"/>
        </w:rPr>
      </w:pPr>
      <w:r>
        <w:rPr>
          <w:rFonts w:hint="eastAsia" w:ascii="仿宋_GB2312" w:eastAsia="仿宋_GB2312"/>
          <w:sz w:val="32"/>
          <w:szCs w:val="32"/>
        </w:rPr>
        <w:t>1.</w:t>
      </w:r>
      <w:r>
        <w:rPr>
          <w:rFonts w:hint="eastAsia" w:ascii="仿宋_GB2312" w:hAnsi="Arial" w:eastAsia="仿宋_GB2312" w:cs="Arial"/>
          <w:sz w:val="32"/>
          <w:szCs w:val="32"/>
        </w:rPr>
        <w:t>扶持范围</w:t>
      </w:r>
      <w:r>
        <w:rPr>
          <w:rFonts w:hint="eastAsia" w:ascii="仿宋_GB2312" w:eastAsia="仿宋_GB2312"/>
          <w:sz w:val="32"/>
          <w:szCs w:val="32"/>
        </w:rPr>
        <w:t>：</w:t>
      </w:r>
      <w:r>
        <w:rPr>
          <w:rFonts w:hint="eastAsia" w:ascii="仿宋_GB2312" w:hAnsi="仿宋" w:eastAsia="仿宋_GB2312" w:cs="仿宋"/>
          <w:sz w:val="32"/>
          <w:szCs w:val="32"/>
        </w:rPr>
        <w:t>获得工信部门绿色数据中心项目扶持的企业</w:t>
      </w:r>
      <w:r>
        <w:rPr>
          <w:rFonts w:hint="eastAsia" w:ascii="仿宋_GB2312" w:hAnsi="Arial" w:eastAsia="仿宋_GB2312" w:cs="Arial"/>
          <w:sz w:val="32"/>
          <w:szCs w:val="32"/>
        </w:rPr>
        <w:t>。</w:t>
      </w:r>
    </w:p>
    <w:p>
      <w:pPr>
        <w:snapToGrid w:val="0"/>
        <w:spacing w:line="560" w:lineRule="exact"/>
        <w:ind w:firstLine="640"/>
        <w:rPr>
          <w:rFonts w:ascii="仿宋_GB2312" w:eastAsia="仿宋_GB2312"/>
          <w:sz w:val="32"/>
          <w:szCs w:val="32"/>
        </w:rPr>
      </w:pPr>
      <w:r>
        <w:rPr>
          <w:rFonts w:hint="eastAsia" w:ascii="仿宋_GB2312" w:eastAsia="仿宋_GB2312"/>
          <w:sz w:val="32"/>
          <w:szCs w:val="32"/>
        </w:rPr>
        <w:t>2.资助方式和标准：按照市级工信部门实际扶持额的50%给予配套扶持，最高不超过50万元。</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Times New Roman" w:eastAsia="仿宋_GB2312" w:cs="Times New Roman"/>
          <w:color w:val="auto"/>
          <w:kern w:val="2"/>
          <w:sz w:val="32"/>
          <w:szCs w:val="32"/>
        </w:rPr>
      </w:pPr>
      <w:r>
        <w:rPr>
          <w:rFonts w:hint="eastAsia" w:ascii="仿宋_GB2312" w:hAnsi="Times New Roman" w:eastAsia="仿宋_GB2312" w:cs="Times New Roman"/>
          <w:color w:val="auto"/>
          <w:kern w:val="2"/>
          <w:sz w:val="32"/>
          <w:szCs w:val="32"/>
        </w:rPr>
        <w:t>3.审核方式：核准制，以市级工信部门公布的项目扶持名单为准。</w:t>
      </w:r>
    </w:p>
    <w:p>
      <w:pPr>
        <w:pStyle w:val="6"/>
        <w:shd w:val="clear" w:color="auto" w:fill="FFFFFF"/>
        <w:adjustRightInd w:val="0"/>
        <w:snapToGrid w:val="0"/>
        <w:spacing w:before="0" w:beforeAutospacing="0" w:after="0" w:afterAutospacing="0" w:line="560" w:lineRule="exact"/>
        <w:ind w:firstLine="643" w:firstLineChars="200"/>
        <w:rPr>
          <w:rFonts w:ascii="仿宋_GB2312" w:hAnsi="Arial" w:eastAsia="仿宋_GB2312" w:cs="Arial"/>
          <w:b/>
          <w:bCs/>
          <w:color w:val="auto"/>
          <w:kern w:val="2"/>
          <w:sz w:val="32"/>
          <w:szCs w:val="32"/>
        </w:rPr>
      </w:pPr>
      <w:r>
        <w:rPr>
          <w:rFonts w:hint="eastAsia" w:ascii="仿宋_GB2312" w:hAnsi="Arial" w:eastAsia="仿宋_GB2312" w:cs="Arial"/>
          <w:b/>
          <w:bCs/>
          <w:color w:val="auto"/>
          <w:kern w:val="2"/>
          <w:sz w:val="32"/>
          <w:szCs w:val="32"/>
        </w:rPr>
        <w:t>第十九条 自愿性清洁生产配套扶持项目</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（一）扶持范围：通过工信部门自愿性清洁生产审核的企业。</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（二）资助方式和标准：按照市级工信部门实际扶持额的50%给予配套扶持，最高</w:t>
      </w:r>
      <w:r>
        <w:rPr>
          <w:rFonts w:hint="eastAsia" w:ascii="仿宋_GB2312" w:eastAsia="仿宋_GB2312"/>
          <w:color w:val="auto"/>
          <w:sz w:val="32"/>
          <w:szCs w:val="32"/>
        </w:rPr>
        <w:t>不超过10万元</w:t>
      </w:r>
      <w:r>
        <w:rPr>
          <w:rFonts w:hint="eastAsia" w:ascii="仿宋_GB2312" w:hAnsi="Arial" w:eastAsia="仿宋_GB2312" w:cs="Arial"/>
          <w:color w:val="auto"/>
          <w:sz w:val="32"/>
          <w:szCs w:val="32"/>
        </w:rPr>
        <w:t>。</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（三）审核方式：核准制，以市级工信部门公布的项目扶持名单为准。</w:t>
      </w:r>
    </w:p>
    <w:p>
      <w:pPr>
        <w:pStyle w:val="6"/>
        <w:shd w:val="clear" w:color="auto" w:fill="FFFFFF"/>
        <w:adjustRightInd w:val="0"/>
        <w:snapToGrid w:val="0"/>
        <w:spacing w:before="0" w:beforeAutospacing="0" w:after="0" w:afterAutospacing="0" w:line="560" w:lineRule="exact"/>
        <w:ind w:firstLine="643" w:firstLineChars="200"/>
        <w:jc w:val="both"/>
        <w:rPr>
          <w:rFonts w:ascii="仿宋_GB2312" w:hAnsi="Arial" w:eastAsia="仿宋_GB2312" w:cs="Arial"/>
          <w:b/>
          <w:bCs/>
          <w:color w:val="auto"/>
          <w:kern w:val="2"/>
          <w:sz w:val="32"/>
          <w:szCs w:val="32"/>
        </w:rPr>
      </w:pPr>
      <w:r>
        <w:rPr>
          <w:rFonts w:hint="eastAsia" w:ascii="仿宋_GB2312" w:hAnsi="Arial" w:eastAsia="仿宋_GB2312" w:cs="Arial"/>
          <w:b/>
          <w:bCs/>
          <w:color w:val="auto"/>
          <w:kern w:val="2"/>
          <w:sz w:val="32"/>
          <w:szCs w:val="32"/>
        </w:rPr>
        <w:t>第二十条  绿色示范扶持项目</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（一）规范公告示范企业扶持项目</w:t>
      </w:r>
    </w:p>
    <w:p>
      <w:pPr>
        <w:adjustRightInd w:val="0"/>
        <w:snapToGrid w:val="0"/>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1.扶持范围：</w:t>
      </w:r>
      <w:r>
        <w:rPr>
          <w:rFonts w:hint="eastAsia" w:ascii="仿宋_GB2312" w:hAnsi="仿宋" w:eastAsia="仿宋_GB2312" w:cs="仿宋"/>
          <w:sz w:val="32"/>
          <w:szCs w:val="32"/>
        </w:rPr>
        <w:t>获得工信部门规范公告示范企业项目扶持的企业</w:t>
      </w:r>
      <w:r>
        <w:rPr>
          <w:rFonts w:hint="eastAsia" w:ascii="仿宋_GB2312" w:hAnsi="Arial" w:eastAsia="仿宋_GB2312" w:cs="Arial"/>
          <w:sz w:val="32"/>
          <w:szCs w:val="32"/>
        </w:rPr>
        <w:t>。</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2.资助方式和标准：按市级工信部门实际扶持额的50%给予配套，最高不超过25万元。</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3.审核方式：核准制，以市级工信部门公布的项目扶持名单为准。</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 xml:space="preserve">（二）“能效领跑者”等扶持项目 </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1.扶持范围：获得工信部门“能效领跑者”等示范项目扶持的企业。</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2.资助方式和标准：按市级工信部门实际扶持额的50%给予配套，最高不超过25万元。</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3.审核方式：核准制，以市级工信部门公布的项目扶持名单为准。</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（三）“能效之星”等扶持项目</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1.扶持范围：获得工信部门“能效之星” 等示范项目扶持的企业。</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2.资助方式和标准：按照市级工信部门实际扶持额的50%给予配套，最高不超过50万元。</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sz w:val="32"/>
          <w:szCs w:val="32"/>
        </w:rPr>
      </w:pPr>
      <w:r>
        <w:rPr>
          <w:rFonts w:hint="eastAsia" w:ascii="仿宋_GB2312" w:hAnsi="Arial" w:eastAsia="仿宋_GB2312" w:cs="Arial"/>
          <w:color w:val="auto"/>
          <w:sz w:val="32"/>
          <w:szCs w:val="32"/>
        </w:rPr>
        <w:t>3.审核方式：核准制，以市级工信部门公布的项目扶持名单为准。</w:t>
      </w:r>
    </w:p>
    <w:p>
      <w:pPr>
        <w:pStyle w:val="6"/>
        <w:numPr>
          <w:ilvl w:val="0"/>
          <w:numId w:val="6"/>
        </w:numPr>
        <w:shd w:val="clear" w:color="auto" w:fill="FFFFFF"/>
        <w:adjustRightInd w:val="0"/>
        <w:snapToGrid w:val="0"/>
        <w:spacing w:before="0" w:beforeAutospacing="0" w:after="0" w:afterAutospacing="0" w:line="560" w:lineRule="exact"/>
        <w:jc w:val="center"/>
        <w:rPr>
          <w:rFonts w:ascii="黑体" w:hAnsi="黑体" w:eastAsia="黑体" w:cs="黑体"/>
          <w:color w:val="auto"/>
          <w:sz w:val="32"/>
          <w:szCs w:val="32"/>
        </w:rPr>
      </w:pPr>
      <w:r>
        <w:rPr>
          <w:rFonts w:hint="eastAsia" w:ascii="黑体" w:hAnsi="黑体" w:eastAsia="黑体" w:cs="黑体"/>
          <w:color w:val="auto"/>
          <w:sz w:val="32"/>
          <w:szCs w:val="32"/>
        </w:rPr>
        <w:t>申报条件</w:t>
      </w:r>
    </w:p>
    <w:p>
      <w:pPr>
        <w:pStyle w:val="6"/>
        <w:shd w:val="clear" w:color="auto" w:fill="FFFFFF"/>
        <w:adjustRightInd w:val="0"/>
        <w:snapToGrid w:val="0"/>
        <w:spacing w:before="0" w:beforeAutospacing="0" w:after="0" w:afterAutospacing="0" w:line="560" w:lineRule="exact"/>
        <w:ind w:firstLine="641"/>
        <w:rPr>
          <w:rFonts w:ascii="仿宋_GB2312" w:hAnsi="Arial" w:eastAsia="仿宋_GB2312" w:cs="Arial"/>
          <w:color w:val="auto"/>
          <w:sz w:val="32"/>
          <w:szCs w:val="32"/>
        </w:rPr>
      </w:pPr>
      <w:r>
        <w:rPr>
          <w:rFonts w:hint="eastAsia" w:ascii="仿宋_GB2312" w:hAnsi="仿宋" w:eastAsia="仿宋_GB2312" w:cs="Arial"/>
          <w:b/>
          <w:bCs/>
          <w:color w:val="auto"/>
          <w:sz w:val="32"/>
          <w:szCs w:val="32"/>
        </w:rPr>
        <w:t>第</w:t>
      </w:r>
      <w:r>
        <w:rPr>
          <w:rFonts w:hint="eastAsia" w:ascii="仿宋_GB2312" w:hAnsi="Arial" w:eastAsia="仿宋_GB2312" w:cs="Arial"/>
          <w:b/>
          <w:bCs/>
          <w:color w:val="auto"/>
          <w:sz w:val="32"/>
          <w:szCs w:val="32"/>
        </w:rPr>
        <w:t>二十一</w:t>
      </w:r>
      <w:r>
        <w:rPr>
          <w:rFonts w:hint="eastAsia" w:ascii="仿宋_GB2312" w:hAnsi="仿宋" w:eastAsia="仿宋_GB2312" w:cs="Arial"/>
          <w:b/>
          <w:bCs/>
          <w:color w:val="auto"/>
          <w:sz w:val="32"/>
          <w:szCs w:val="32"/>
        </w:rPr>
        <w:t>条</w:t>
      </w:r>
      <w:r>
        <w:rPr>
          <w:rFonts w:hint="eastAsia" w:ascii="仿宋_GB2312" w:hAnsi="Arial" w:eastAsia="仿宋_GB2312" w:cs="Arial"/>
          <w:color w:val="auto"/>
          <w:sz w:val="32"/>
          <w:szCs w:val="32"/>
        </w:rPr>
        <w:t xml:space="preserve"> 申报条件由基础申报条件和专项申报条件两部分组成。项目单位需符合下列基础条件：</w:t>
      </w:r>
    </w:p>
    <w:p>
      <w:pPr>
        <w:pStyle w:val="6"/>
        <w:adjustRightInd w:val="0"/>
        <w:snapToGrid w:val="0"/>
        <w:spacing w:before="0" w:beforeAutospacing="0" w:after="0" w:afterAutospacing="0" w:line="560" w:lineRule="exact"/>
        <w:ind w:firstLine="641"/>
        <w:rPr>
          <w:rFonts w:ascii="仿宋_GB2312" w:hAnsi="Arial" w:eastAsia="仿宋_GB2312" w:cs="Arial"/>
          <w:color w:val="auto"/>
          <w:sz w:val="32"/>
          <w:szCs w:val="32"/>
        </w:rPr>
      </w:pPr>
      <w:r>
        <w:rPr>
          <w:rFonts w:hint="eastAsia" w:ascii="仿宋_GB2312" w:hAnsi="Arial" w:eastAsia="仿宋_GB2312" w:cs="Arial"/>
          <w:color w:val="auto"/>
          <w:sz w:val="32"/>
          <w:szCs w:val="32"/>
        </w:rPr>
        <w:t>（一）项目单位是在</w:t>
      </w:r>
      <w:r>
        <w:rPr>
          <w:rFonts w:hint="eastAsia" w:ascii="仿宋_GB2312" w:hAnsi="仿宋_GB2312" w:eastAsia="仿宋_GB2312" w:cs="华文仿宋"/>
          <w:color w:val="auto"/>
          <w:sz w:val="32"/>
          <w:szCs w:val="32"/>
        </w:rPr>
        <w:t>龙岗区行政区域内依法登记注册、具有独立法人资格且符合要求的</w:t>
      </w:r>
      <w:r>
        <w:rPr>
          <w:rFonts w:hint="eastAsia" w:ascii="仿宋_GB2312" w:hAnsi="仿宋_GB2312" w:eastAsia="仿宋_GB2312"/>
          <w:color w:val="auto"/>
          <w:sz w:val="32"/>
          <w:szCs w:val="32"/>
        </w:rPr>
        <w:t>法人企业或民办非企业单位</w:t>
      </w:r>
      <w:r>
        <w:rPr>
          <w:rFonts w:hint="eastAsia" w:ascii="仿宋_GB2312" w:hAnsi="Arial" w:eastAsia="仿宋_GB2312" w:cs="Arial"/>
          <w:color w:val="auto"/>
          <w:sz w:val="32"/>
          <w:szCs w:val="32"/>
        </w:rPr>
        <w:t>；</w:t>
      </w:r>
    </w:p>
    <w:p>
      <w:pPr>
        <w:pStyle w:val="6"/>
        <w:adjustRightInd w:val="0"/>
        <w:snapToGrid w:val="0"/>
        <w:spacing w:before="0" w:beforeAutospacing="0" w:after="0" w:afterAutospacing="0" w:line="560" w:lineRule="exact"/>
        <w:ind w:firstLine="641"/>
        <w:rPr>
          <w:rFonts w:ascii="仿宋_GB2312" w:hAnsi="Arial" w:eastAsia="仿宋_GB2312" w:cs="Arial"/>
          <w:color w:val="auto"/>
          <w:sz w:val="32"/>
          <w:szCs w:val="32"/>
        </w:rPr>
      </w:pPr>
      <w:r>
        <w:rPr>
          <w:rFonts w:hint="eastAsia" w:ascii="仿宋_GB2312" w:hAnsi="Arial" w:eastAsia="仿宋_GB2312" w:cs="Arial"/>
          <w:color w:val="auto"/>
          <w:sz w:val="32"/>
          <w:szCs w:val="32"/>
        </w:rPr>
        <w:t>（二）项目单位未违反国家省市联合惩戒政策和制度规定，没有被列为失信联合惩戒对象；</w:t>
      </w:r>
    </w:p>
    <w:p>
      <w:pPr>
        <w:pStyle w:val="6"/>
        <w:adjustRightInd w:val="0"/>
        <w:snapToGrid w:val="0"/>
        <w:spacing w:before="0" w:beforeAutospacing="0" w:after="0" w:afterAutospacing="0" w:line="560" w:lineRule="exact"/>
        <w:ind w:firstLine="641"/>
        <w:rPr>
          <w:rFonts w:ascii="仿宋_GB2312" w:hAnsi="Arial" w:eastAsia="仿宋_GB2312" w:cs="Arial"/>
          <w:color w:val="auto"/>
          <w:sz w:val="32"/>
          <w:szCs w:val="32"/>
        </w:rPr>
      </w:pPr>
      <w:r>
        <w:rPr>
          <w:rFonts w:hint="eastAsia" w:ascii="仿宋_GB2312" w:hAnsi="Arial" w:eastAsia="仿宋_GB2312" w:cs="Arial"/>
          <w:color w:val="auto"/>
          <w:sz w:val="32"/>
          <w:szCs w:val="32"/>
        </w:rPr>
        <w:t>（三）项目单位对申报材料的真实性、合法性和完整性负责，不得弄虚作假、套取、骗取专项资金；</w:t>
      </w:r>
    </w:p>
    <w:p>
      <w:pPr>
        <w:pStyle w:val="6"/>
        <w:adjustRightInd w:val="0"/>
        <w:snapToGrid w:val="0"/>
        <w:spacing w:before="0" w:beforeAutospacing="0" w:after="0" w:afterAutospacing="0" w:line="560" w:lineRule="exact"/>
        <w:ind w:firstLine="641"/>
        <w:rPr>
          <w:rFonts w:ascii="仿宋_GB2312" w:hAnsi="Arial" w:eastAsia="仿宋_GB2312" w:cs="Arial"/>
          <w:color w:val="auto"/>
          <w:sz w:val="32"/>
          <w:szCs w:val="32"/>
        </w:rPr>
      </w:pPr>
      <w:r>
        <w:rPr>
          <w:rFonts w:hint="eastAsia" w:ascii="仿宋_GB2312" w:hAnsi="Arial" w:eastAsia="仿宋_GB2312" w:cs="Arial"/>
          <w:color w:val="auto"/>
          <w:sz w:val="32"/>
          <w:szCs w:val="32"/>
        </w:rPr>
        <w:t>（四）项目单位提交的有关生产经营数据，如与区统计部门不一致的，以区统计局数据为准；</w:t>
      </w:r>
    </w:p>
    <w:p>
      <w:pPr>
        <w:pStyle w:val="6"/>
        <w:adjustRightInd w:val="0"/>
        <w:snapToGrid w:val="0"/>
        <w:spacing w:before="0" w:beforeAutospacing="0" w:after="0" w:afterAutospacing="0" w:line="560" w:lineRule="exact"/>
        <w:ind w:firstLine="641"/>
        <w:rPr>
          <w:rFonts w:ascii="仿宋_GB2312" w:hAnsi="Arial" w:eastAsia="仿宋_GB2312" w:cs="Arial"/>
          <w:color w:val="auto"/>
          <w:sz w:val="32"/>
          <w:szCs w:val="32"/>
        </w:rPr>
      </w:pPr>
      <w:r>
        <w:rPr>
          <w:rFonts w:hint="eastAsia" w:ascii="仿宋_GB2312" w:hAnsi="Arial" w:eastAsia="仿宋_GB2312" w:cs="Arial"/>
          <w:color w:val="auto"/>
          <w:sz w:val="32"/>
          <w:szCs w:val="32"/>
        </w:rPr>
        <w:t>（五）项目单位不得以同一事项重复申报或者多头申报区级专项资金，同一项目因政策允许可申报多项专项资金的，应当在申报材料中予以明确；</w:t>
      </w:r>
    </w:p>
    <w:p>
      <w:pPr>
        <w:pStyle w:val="6"/>
        <w:adjustRightInd w:val="0"/>
        <w:snapToGrid w:val="0"/>
        <w:spacing w:before="0" w:beforeAutospacing="0" w:after="0" w:afterAutospacing="0" w:line="560" w:lineRule="exact"/>
        <w:ind w:firstLine="640"/>
        <w:rPr>
          <w:rFonts w:ascii="仿宋_GB2312" w:hAnsi="Arial" w:eastAsia="仿宋_GB2312" w:cs="Arial"/>
          <w:color w:val="auto"/>
          <w:sz w:val="32"/>
          <w:szCs w:val="32"/>
        </w:rPr>
      </w:pPr>
      <w:r>
        <w:rPr>
          <w:rFonts w:hint="eastAsia" w:ascii="仿宋_GB2312" w:hAnsi="Arial" w:eastAsia="仿宋_GB2312" w:cs="Arial"/>
          <w:color w:val="auto"/>
          <w:sz w:val="32"/>
          <w:szCs w:val="32"/>
        </w:rPr>
        <w:t>（六）法律、法规、规章和上级行政机关规范性文件规定的其他条件。</w:t>
      </w:r>
    </w:p>
    <w:p>
      <w:pPr>
        <w:pStyle w:val="6"/>
        <w:shd w:val="clear" w:color="auto" w:fill="FFFFFF"/>
        <w:adjustRightInd w:val="0"/>
        <w:snapToGrid w:val="0"/>
        <w:spacing w:before="0" w:beforeAutospacing="0" w:after="0" w:afterAutospacing="0" w:line="560" w:lineRule="exact"/>
        <w:ind w:firstLine="640"/>
        <w:rPr>
          <w:rFonts w:ascii="仿宋_GB2312" w:hAnsi="仿宋" w:eastAsia="仿宋_GB2312" w:cs="Arial"/>
          <w:b/>
          <w:bCs/>
          <w:color w:val="auto"/>
          <w:sz w:val="32"/>
          <w:szCs w:val="32"/>
        </w:rPr>
      </w:pPr>
      <w:r>
        <w:rPr>
          <w:rFonts w:hint="eastAsia" w:ascii="仿宋_GB2312" w:hAnsi="Arial" w:eastAsia="仿宋_GB2312" w:cs="Arial"/>
          <w:sz w:val="32"/>
          <w:szCs w:val="32"/>
        </w:rPr>
        <w:t>（七）本实施细则的资助额，一律取整到元（向下取整）。</w:t>
      </w:r>
    </w:p>
    <w:p>
      <w:pPr>
        <w:pStyle w:val="6"/>
        <w:shd w:val="clear" w:color="auto" w:fill="FFFFFF"/>
        <w:adjustRightInd w:val="0"/>
        <w:snapToGrid w:val="0"/>
        <w:spacing w:before="0" w:beforeAutospacing="0" w:after="0" w:afterAutospacing="0" w:line="560" w:lineRule="exact"/>
        <w:ind w:firstLine="640"/>
        <w:rPr>
          <w:rFonts w:ascii="仿宋_GB2312" w:hAnsi="仿宋" w:eastAsia="仿宋_GB2312" w:cs="Arial"/>
          <w:color w:val="auto"/>
          <w:sz w:val="32"/>
          <w:szCs w:val="32"/>
        </w:rPr>
      </w:pPr>
      <w:r>
        <w:rPr>
          <w:rFonts w:hint="eastAsia" w:ascii="仿宋_GB2312" w:hAnsi="仿宋" w:eastAsia="仿宋_GB2312" w:cs="Arial"/>
          <w:b/>
          <w:bCs/>
          <w:color w:val="auto"/>
          <w:sz w:val="32"/>
          <w:szCs w:val="32"/>
        </w:rPr>
        <w:t>第</w:t>
      </w:r>
      <w:r>
        <w:rPr>
          <w:rFonts w:hint="eastAsia" w:ascii="仿宋_GB2312" w:hAnsi="Arial" w:eastAsia="仿宋_GB2312" w:cs="Arial"/>
          <w:b/>
          <w:bCs/>
          <w:color w:val="auto"/>
          <w:sz w:val="32"/>
          <w:szCs w:val="32"/>
        </w:rPr>
        <w:t>二十二</w:t>
      </w:r>
      <w:r>
        <w:rPr>
          <w:rFonts w:hint="eastAsia" w:ascii="仿宋_GB2312" w:hAnsi="仿宋" w:eastAsia="仿宋_GB2312" w:cs="Arial"/>
          <w:b/>
          <w:bCs/>
          <w:color w:val="auto"/>
          <w:sz w:val="32"/>
          <w:szCs w:val="32"/>
        </w:rPr>
        <w:t>条</w:t>
      </w:r>
      <w:r>
        <w:rPr>
          <w:rFonts w:hint="eastAsia" w:ascii="仿宋_GB2312" w:hAnsi="仿宋" w:eastAsia="仿宋_GB2312" w:cs="Arial"/>
          <w:color w:val="auto"/>
          <w:sz w:val="32"/>
          <w:szCs w:val="32"/>
        </w:rPr>
        <w:t xml:space="preserve"> 项目单位申报具体项目，还应符合以下专项申报条件和区工业和信息化局依据本实施细则制定的申请指南的相关条件：</w:t>
      </w:r>
    </w:p>
    <w:p>
      <w:pPr>
        <w:pStyle w:val="6"/>
        <w:shd w:val="clear" w:color="auto" w:fill="FFFFFF"/>
        <w:adjustRightInd w:val="0"/>
        <w:snapToGrid w:val="0"/>
        <w:spacing w:before="0" w:beforeAutospacing="0" w:after="0" w:afterAutospacing="0" w:line="560" w:lineRule="exact"/>
        <w:ind w:left="640"/>
        <w:rPr>
          <w:rFonts w:ascii="仿宋_GB2312" w:hAnsi="Arial" w:eastAsia="仿宋_GB2312" w:cs="Arial"/>
          <w:b/>
          <w:bCs/>
          <w:color w:val="auto"/>
          <w:sz w:val="32"/>
          <w:szCs w:val="32"/>
        </w:rPr>
      </w:pPr>
      <w:r>
        <w:rPr>
          <w:rFonts w:hint="eastAsia" w:ascii="仿宋_GB2312" w:hAnsi="仿宋" w:eastAsia="仿宋_GB2312" w:cs="Arial"/>
          <w:b/>
          <w:bCs/>
          <w:color w:val="auto"/>
          <w:sz w:val="32"/>
          <w:szCs w:val="32"/>
        </w:rPr>
        <w:t>（一）</w:t>
      </w:r>
      <w:r>
        <w:rPr>
          <w:rFonts w:hint="eastAsia" w:ascii="仿宋_GB2312" w:hAnsi="Arial" w:eastAsia="仿宋_GB2312" w:cs="Arial"/>
          <w:b/>
          <w:bCs/>
          <w:color w:val="auto"/>
          <w:sz w:val="32"/>
          <w:szCs w:val="32"/>
        </w:rPr>
        <w:t>工业企业入库扶持项目</w:t>
      </w:r>
    </w:p>
    <w:p>
      <w:pPr>
        <w:adjustRightInd w:val="0"/>
        <w:snapToGrid w:val="0"/>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1.申报企业的注册地和统计地均在龙岗区。</w:t>
      </w:r>
    </w:p>
    <w:p>
      <w:pPr>
        <w:adjustRightInd w:val="0"/>
        <w:snapToGrid w:val="0"/>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2.界定企业是否首次入库时，一律追溯至申报年度的前5年。</w:t>
      </w:r>
    </w:p>
    <w:p>
      <w:pPr>
        <w:adjustRightInd w:val="0"/>
        <w:snapToGrid w:val="0"/>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3.在区外其他地区入库的企业，在入库后才将注册地或统计地迁入龙岗区的，则不能申报本扶持，可在下一年度视发展情况申报其他项目的扶持。</w:t>
      </w:r>
    </w:p>
    <w:p>
      <w:pPr>
        <w:pStyle w:val="6"/>
        <w:shd w:val="clear" w:color="auto" w:fill="FFFFFF"/>
        <w:adjustRightInd w:val="0"/>
        <w:snapToGrid w:val="0"/>
        <w:spacing w:before="0" w:beforeAutospacing="0" w:after="0" w:afterAutospacing="0" w:line="560" w:lineRule="exact"/>
        <w:ind w:firstLine="640"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4.本扶持为核准制，企业是否新增入库以区统计部门的正式数据为准。</w:t>
      </w:r>
    </w:p>
    <w:p>
      <w:pPr>
        <w:pStyle w:val="6"/>
        <w:shd w:val="clear" w:color="auto" w:fill="FFFFFF"/>
        <w:adjustRightInd w:val="0"/>
        <w:snapToGrid w:val="0"/>
        <w:spacing w:before="0" w:beforeAutospacing="0" w:after="0" w:afterAutospacing="0" w:line="560" w:lineRule="exact"/>
        <w:ind w:firstLine="640"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5.曾获得龙岗区其他类型入库奖励的企业，不得再申请本项目扶持。</w:t>
      </w:r>
    </w:p>
    <w:p>
      <w:pPr>
        <w:pStyle w:val="6"/>
        <w:shd w:val="clear" w:color="auto" w:fill="FFFFFF"/>
        <w:adjustRightInd w:val="0"/>
        <w:snapToGrid w:val="0"/>
        <w:spacing w:before="0" w:beforeAutospacing="0" w:after="0" w:afterAutospacing="0" w:line="560" w:lineRule="exact"/>
        <w:ind w:left="640"/>
        <w:rPr>
          <w:rFonts w:ascii="仿宋_GB2312" w:hAnsi="Arial" w:eastAsia="仿宋_GB2312" w:cs="Arial"/>
          <w:b/>
          <w:bCs/>
          <w:color w:val="auto"/>
          <w:sz w:val="32"/>
          <w:szCs w:val="32"/>
        </w:rPr>
      </w:pPr>
      <w:r>
        <w:rPr>
          <w:rFonts w:hint="eastAsia" w:ascii="仿宋_GB2312" w:hAnsi="仿宋" w:eastAsia="仿宋_GB2312" w:cs="Arial"/>
          <w:b/>
          <w:bCs/>
          <w:color w:val="auto"/>
          <w:sz w:val="32"/>
          <w:szCs w:val="32"/>
        </w:rPr>
        <w:t>（二）</w:t>
      </w:r>
      <w:r>
        <w:rPr>
          <w:rFonts w:hint="eastAsia" w:ascii="仿宋_GB2312" w:hAnsi="Arial" w:eastAsia="仿宋_GB2312" w:cs="Arial"/>
          <w:b/>
          <w:bCs/>
          <w:color w:val="auto"/>
          <w:sz w:val="32"/>
          <w:szCs w:val="32"/>
        </w:rPr>
        <w:t>工业企业促产能扶持项目</w:t>
      </w:r>
    </w:p>
    <w:p>
      <w:pPr>
        <w:adjustRightInd w:val="0"/>
        <w:snapToGrid w:val="0"/>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1.申报企业的注册地和统计地均在龙岗区。</w:t>
      </w:r>
    </w:p>
    <w:p>
      <w:pPr>
        <w:adjustRightInd w:val="0"/>
        <w:snapToGrid w:val="0"/>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2.本扶持为核准制，产值数据以企业上报区统计部门的1-12月的月报数据为准。</w:t>
      </w:r>
    </w:p>
    <w:p>
      <w:pPr>
        <w:adjustRightInd w:val="0"/>
        <w:snapToGrid w:val="0"/>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3.确定产值层级时以企业的申报年度产值为准，产值增速则以申报年度产值对比上一年度产值的同比增速为准。</w:t>
      </w:r>
    </w:p>
    <w:p>
      <w:pPr>
        <w:adjustRightInd w:val="0"/>
        <w:snapToGrid w:val="0"/>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4.企业在申报年度内将统计地由区外迁入龙岗的，可以申报本扶持。</w:t>
      </w:r>
    </w:p>
    <w:p>
      <w:pPr>
        <w:adjustRightInd w:val="0"/>
        <w:snapToGrid w:val="0"/>
        <w:spacing w:line="560" w:lineRule="exact"/>
        <w:ind w:firstLine="640" w:firstLineChars="200"/>
        <w:rPr>
          <w:rFonts w:ascii="仿宋_GB2312" w:eastAsia="仿宋_GB2312"/>
        </w:rPr>
      </w:pPr>
      <w:r>
        <w:rPr>
          <w:rFonts w:hint="eastAsia" w:ascii="仿宋_GB2312" w:hAnsi="Arial" w:eastAsia="仿宋_GB2312" w:cs="Arial"/>
          <w:sz w:val="32"/>
          <w:szCs w:val="32"/>
        </w:rPr>
        <w:t>5.若申报主体在库内有关联企业的，须与关联企业合并申报。合并申报的主体为其中产值最大的企业。</w:t>
      </w:r>
    </w:p>
    <w:p>
      <w:pPr>
        <w:pStyle w:val="6"/>
        <w:shd w:val="clear" w:color="auto" w:fill="FFFFFF"/>
        <w:adjustRightInd w:val="0"/>
        <w:snapToGrid w:val="0"/>
        <w:spacing w:before="0" w:beforeAutospacing="0" w:after="0" w:afterAutospacing="0" w:line="560" w:lineRule="exact"/>
        <w:ind w:left="640"/>
        <w:rPr>
          <w:rFonts w:ascii="仿宋_GB2312" w:hAnsi="Arial" w:eastAsia="仿宋_GB2312" w:cs="Arial"/>
          <w:b/>
          <w:bCs/>
          <w:color w:val="auto"/>
          <w:sz w:val="32"/>
          <w:szCs w:val="32"/>
        </w:rPr>
      </w:pPr>
      <w:r>
        <w:rPr>
          <w:rFonts w:hint="eastAsia" w:ascii="仿宋_GB2312" w:hAnsi="仿宋" w:eastAsia="仿宋_GB2312" w:cs="Arial"/>
          <w:b/>
          <w:bCs/>
          <w:color w:val="auto"/>
          <w:sz w:val="32"/>
          <w:szCs w:val="32"/>
        </w:rPr>
        <w:t>（三）</w:t>
      </w:r>
      <w:r>
        <w:rPr>
          <w:rFonts w:hint="eastAsia" w:ascii="仿宋_GB2312" w:hAnsi="Arial" w:eastAsia="仿宋_GB2312" w:cs="Arial"/>
          <w:b/>
          <w:bCs/>
          <w:color w:val="auto"/>
          <w:kern w:val="2"/>
          <w:sz w:val="32"/>
          <w:szCs w:val="32"/>
        </w:rPr>
        <w:t>技术改造扶持项</w:t>
      </w:r>
      <w:r>
        <w:rPr>
          <w:rFonts w:hint="eastAsia" w:ascii="仿宋_GB2312" w:hAnsi="Arial" w:eastAsia="仿宋_GB2312" w:cs="Arial"/>
          <w:b/>
          <w:bCs/>
          <w:color w:val="auto"/>
          <w:sz w:val="32"/>
          <w:szCs w:val="32"/>
        </w:rPr>
        <w:t>目</w:t>
      </w:r>
    </w:p>
    <w:p>
      <w:pPr>
        <w:adjustRightInd w:val="0"/>
        <w:snapToGrid w:val="0"/>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1.申报企业的注册地和统计地均在龙岗区，申报企业的项目实施地应在龙岗区。</w:t>
      </w:r>
    </w:p>
    <w:p>
      <w:pPr>
        <w:adjustRightInd w:val="0"/>
        <w:snapToGrid w:val="0"/>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2.申报企业的项目在《国民经济行业分类》中属于 B类（采矿业）、C类(制造业)、D类（电力、热力、燃气及水生产和供应业），行业分类代码在0610至4690之间。</w:t>
      </w:r>
    </w:p>
    <w:p>
      <w:pPr>
        <w:adjustRightInd w:val="0"/>
        <w:snapToGrid w:val="0"/>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3.支持企业为实现扩大产能规模、提升生产效率、提高产品质量、促进技术装备和产品更新换代、低碳绿色环保、节能降耗、安全生产，以及向数字化、网络化和智能化转型等目标，对企业购置生产设施装备和进行技术升级改造，以及为实现技术改造而实施的必要土建给予资助。</w:t>
      </w:r>
    </w:p>
    <w:p>
      <w:pPr>
        <w:adjustRightInd w:val="0"/>
        <w:snapToGrid w:val="0"/>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4.申报项目必须已纳入国家统计联网直报平台工业技改项目统计（即单个项目投资总额不低于500万元），未纳统的项目不属于扶持范围；企业在统计库内有多个项目的，则以企业名义统一合并申报。</w:t>
      </w:r>
    </w:p>
    <w:p>
      <w:pPr>
        <w:adjustRightInd w:val="0"/>
        <w:snapToGrid w:val="0"/>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5.本项目的资助额，一律取整到元（向下取整）。</w:t>
      </w:r>
    </w:p>
    <w:p>
      <w:pPr>
        <w:pStyle w:val="6"/>
        <w:shd w:val="clear" w:color="auto" w:fill="FFFFFF"/>
        <w:adjustRightInd w:val="0"/>
        <w:snapToGrid w:val="0"/>
        <w:spacing w:before="0" w:beforeAutospacing="0" w:after="0" w:afterAutospacing="0" w:line="560" w:lineRule="exact"/>
        <w:ind w:left="640"/>
        <w:rPr>
          <w:rFonts w:ascii="仿宋_GB2312" w:hAnsi="Arial" w:eastAsia="仿宋_GB2312" w:cs="Arial"/>
          <w:b/>
          <w:bCs/>
          <w:color w:val="auto"/>
          <w:sz w:val="32"/>
          <w:szCs w:val="32"/>
        </w:rPr>
      </w:pPr>
      <w:r>
        <w:rPr>
          <w:rFonts w:hint="eastAsia" w:ascii="仿宋_GB2312" w:hAnsi="仿宋" w:eastAsia="仿宋_GB2312" w:cs="Arial"/>
          <w:b/>
          <w:bCs/>
          <w:color w:val="auto"/>
          <w:sz w:val="32"/>
          <w:szCs w:val="32"/>
        </w:rPr>
        <w:t>（四）</w:t>
      </w:r>
      <w:r>
        <w:rPr>
          <w:rFonts w:hint="eastAsia" w:ascii="仿宋_GB2312" w:hAnsi="Arial" w:eastAsia="仿宋_GB2312" w:cs="Arial"/>
          <w:b/>
          <w:bCs/>
          <w:sz w:val="32"/>
          <w:szCs w:val="32"/>
        </w:rPr>
        <w:t>企业专业化发展扶持</w:t>
      </w:r>
      <w:r>
        <w:rPr>
          <w:rFonts w:hint="eastAsia" w:ascii="仿宋_GB2312" w:hAnsi="Arial" w:eastAsia="仿宋_GB2312" w:cs="Arial"/>
          <w:b/>
          <w:bCs/>
          <w:color w:val="auto"/>
          <w:sz w:val="32"/>
          <w:szCs w:val="32"/>
        </w:rPr>
        <w:t>项目</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仿宋" w:eastAsia="仿宋_GB2312" w:cs="Arial"/>
          <w:sz w:val="32"/>
          <w:szCs w:val="32"/>
        </w:rPr>
      </w:pPr>
      <w:r>
        <w:rPr>
          <w:rFonts w:hint="eastAsia" w:ascii="仿宋_GB2312" w:hAnsi="仿宋" w:eastAsia="仿宋_GB2312" w:cs="Arial"/>
          <w:bCs/>
          <w:sz w:val="32"/>
          <w:szCs w:val="32"/>
        </w:rPr>
        <w:t>1.</w:t>
      </w:r>
      <w:r>
        <w:rPr>
          <w:rFonts w:hint="eastAsia" w:ascii="仿宋_GB2312" w:hAnsi="仿宋" w:eastAsia="仿宋_GB2312" w:cs="Arial"/>
          <w:sz w:val="32"/>
          <w:szCs w:val="32"/>
        </w:rPr>
        <w:t>申报企业的注册地和统计地均在龙岗区。</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仿宋" w:eastAsia="仿宋_GB2312" w:cs="Arial"/>
          <w:sz w:val="32"/>
          <w:szCs w:val="32"/>
        </w:rPr>
      </w:pPr>
      <w:r>
        <w:rPr>
          <w:rFonts w:hint="eastAsia" w:ascii="仿宋_GB2312" w:hAnsi="仿宋" w:eastAsia="仿宋_GB2312" w:cs="Arial"/>
          <w:bCs/>
          <w:sz w:val="32"/>
          <w:szCs w:val="32"/>
        </w:rPr>
        <w:t>2.</w:t>
      </w:r>
      <w:r>
        <w:rPr>
          <w:rFonts w:hint="eastAsia" w:ascii="仿宋_GB2312" w:hAnsi="仿宋" w:eastAsia="仿宋_GB2312" w:cs="Arial"/>
          <w:sz w:val="32"/>
          <w:szCs w:val="32"/>
        </w:rPr>
        <w:t>制造业单项冠军、</w:t>
      </w:r>
      <w:r>
        <w:rPr>
          <w:rFonts w:hint="eastAsia" w:ascii="仿宋_GB2312" w:hAnsi="Arial" w:eastAsia="仿宋_GB2312" w:cs="Arial"/>
          <w:sz w:val="32"/>
          <w:szCs w:val="32"/>
        </w:rPr>
        <w:t>专精特新“小巨人”企业以及省专精特新企业</w:t>
      </w:r>
      <w:r>
        <w:rPr>
          <w:rFonts w:hint="eastAsia" w:ascii="仿宋_GB2312" w:hAnsi="仿宋" w:eastAsia="仿宋_GB2312" w:cs="Arial"/>
          <w:sz w:val="32"/>
          <w:szCs w:val="32"/>
        </w:rPr>
        <w:t>等设置了动态管理要求的项目，如已达到重新评估年限要求且未能通过复核的企业，则不能申报相应的扶持项目。</w:t>
      </w:r>
    </w:p>
    <w:p>
      <w:pPr>
        <w:pStyle w:val="6"/>
        <w:shd w:val="clear" w:color="auto" w:fill="FFFFFF"/>
        <w:adjustRightInd w:val="0"/>
        <w:snapToGrid w:val="0"/>
        <w:spacing w:before="0" w:beforeAutospacing="0" w:after="0" w:afterAutospacing="0" w:line="560" w:lineRule="exact"/>
        <w:ind w:left="640"/>
        <w:rPr>
          <w:rFonts w:ascii="仿宋_GB2312" w:hAnsi="Arial" w:eastAsia="仿宋_GB2312" w:cs="Arial"/>
          <w:b/>
          <w:bCs/>
          <w:color w:val="auto"/>
          <w:sz w:val="32"/>
          <w:szCs w:val="32"/>
        </w:rPr>
      </w:pPr>
      <w:r>
        <w:rPr>
          <w:rFonts w:hint="eastAsia" w:ascii="仿宋_GB2312" w:hAnsi="仿宋" w:eastAsia="仿宋_GB2312" w:cs="Arial"/>
          <w:b/>
          <w:bCs/>
          <w:color w:val="auto"/>
          <w:sz w:val="32"/>
          <w:szCs w:val="32"/>
        </w:rPr>
        <w:t>（五）</w:t>
      </w:r>
      <w:r>
        <w:rPr>
          <w:rFonts w:hint="eastAsia" w:ascii="仿宋_GB2312" w:hAnsi="Arial" w:eastAsia="仿宋_GB2312" w:cs="Arial"/>
          <w:b/>
          <w:bCs/>
          <w:color w:val="auto"/>
          <w:sz w:val="32"/>
          <w:szCs w:val="32"/>
        </w:rPr>
        <w:t>企业上市扶持项目</w:t>
      </w:r>
    </w:p>
    <w:p>
      <w:pPr>
        <w:adjustRightInd w:val="0"/>
        <w:snapToGrid w:val="0"/>
        <w:spacing w:line="560" w:lineRule="exact"/>
        <w:ind w:firstLine="640"/>
        <w:rPr>
          <w:rFonts w:ascii="仿宋_GB2312" w:hAnsi="Arial" w:eastAsia="仿宋_GB2312" w:cs="Arial"/>
          <w:sz w:val="32"/>
          <w:szCs w:val="32"/>
        </w:rPr>
      </w:pPr>
      <w:r>
        <w:rPr>
          <w:rFonts w:hint="eastAsia" w:ascii="仿宋_GB2312" w:hAnsi="Arial" w:eastAsia="仿宋_GB2312" w:cs="Arial"/>
          <w:sz w:val="32"/>
          <w:szCs w:val="32"/>
        </w:rPr>
        <w:t>1.申报企业的注册地和统计地均在龙岗区。</w:t>
      </w:r>
    </w:p>
    <w:p>
      <w:pPr>
        <w:adjustRightInd w:val="0"/>
        <w:snapToGrid w:val="0"/>
        <w:spacing w:line="560" w:lineRule="exact"/>
        <w:ind w:firstLine="640"/>
        <w:rPr>
          <w:rFonts w:ascii="仿宋_GB2312" w:hAnsi="Arial" w:eastAsia="仿宋_GB2312" w:cs="Arial"/>
          <w:sz w:val="32"/>
          <w:szCs w:val="32"/>
        </w:rPr>
      </w:pPr>
      <w:r>
        <w:rPr>
          <w:rFonts w:hint="eastAsia" w:ascii="仿宋_GB2312" w:hAnsi="Arial" w:eastAsia="仿宋_GB2312" w:cs="Arial"/>
          <w:sz w:val="32"/>
          <w:szCs w:val="32"/>
        </w:rPr>
        <w:t>2.企业需完成股票发行。</w:t>
      </w:r>
    </w:p>
    <w:p>
      <w:pPr>
        <w:adjustRightInd w:val="0"/>
        <w:snapToGrid w:val="0"/>
        <w:spacing w:line="560" w:lineRule="exact"/>
        <w:ind w:firstLine="640"/>
        <w:rPr>
          <w:rFonts w:ascii="仿宋_GB2312" w:hAnsi="Arial" w:eastAsia="仿宋_GB2312" w:cs="Arial"/>
          <w:sz w:val="32"/>
          <w:szCs w:val="32"/>
        </w:rPr>
      </w:pPr>
      <w:r>
        <w:rPr>
          <w:rFonts w:hint="eastAsia" w:ascii="仿宋_GB2312" w:hAnsi="Arial" w:eastAsia="仿宋_GB2312" w:cs="Arial"/>
          <w:sz w:val="32"/>
          <w:szCs w:val="32"/>
        </w:rPr>
        <w:t>3.</w:t>
      </w:r>
      <w:r>
        <w:rPr>
          <w:rFonts w:hint="eastAsia" w:ascii="仿宋_GB2312" w:hAnsi="Arial" w:eastAsia="仿宋_GB2312" w:cs="Arial"/>
          <w:kern w:val="0"/>
          <w:sz w:val="32"/>
          <w:szCs w:val="32"/>
        </w:rPr>
        <w:t>企业需在境内证券主管部门对企业</w:t>
      </w:r>
      <w:r>
        <w:rPr>
          <w:rFonts w:hint="eastAsia" w:ascii="仿宋_GB2312" w:hAnsi="Arial" w:eastAsia="仿宋_GB2312" w:cs="Arial"/>
          <w:sz w:val="32"/>
          <w:szCs w:val="32"/>
        </w:rPr>
        <w:t>首次公开发行股票</w:t>
      </w:r>
      <w:r>
        <w:rPr>
          <w:rFonts w:hint="eastAsia" w:ascii="仿宋_GB2312" w:hAnsi="Arial" w:eastAsia="仿宋_GB2312" w:cs="Arial"/>
          <w:kern w:val="0"/>
          <w:sz w:val="32"/>
          <w:szCs w:val="32"/>
        </w:rPr>
        <w:t>的批准文件生效日之后的5年内申报本扶持项目</w:t>
      </w:r>
      <w:r>
        <w:rPr>
          <w:rFonts w:hint="eastAsia" w:ascii="仿宋_GB2312" w:hAnsi="Arial" w:eastAsia="仿宋_GB2312" w:cs="Arial"/>
          <w:sz w:val="32"/>
          <w:szCs w:val="32"/>
        </w:rPr>
        <w:t>。</w:t>
      </w:r>
    </w:p>
    <w:p>
      <w:pPr>
        <w:adjustRightInd w:val="0"/>
        <w:snapToGrid w:val="0"/>
        <w:spacing w:line="560" w:lineRule="exact"/>
        <w:ind w:firstLine="640"/>
        <w:rPr>
          <w:rFonts w:ascii="仿宋_GB2312" w:hAnsi="Arial" w:eastAsia="仿宋_GB2312" w:cs="Arial"/>
          <w:sz w:val="32"/>
          <w:szCs w:val="32"/>
        </w:rPr>
      </w:pPr>
      <w:r>
        <w:rPr>
          <w:rFonts w:hint="eastAsia" w:ascii="仿宋_GB2312" w:hAnsi="Arial" w:eastAsia="仿宋_GB2312" w:cs="Arial"/>
          <w:sz w:val="32"/>
          <w:szCs w:val="32"/>
        </w:rPr>
        <w:t>4.企业上市时注册地不在深圳且已获得原注册地政府上市扶持的，不得申请本扶持项目。此处的“上市扶持”，是指企业上市时，获得了其所在的市或区的工业主管部门（含中小企业或企业服务主管部门）针对企业上市直接给予的资金支持。</w:t>
      </w:r>
    </w:p>
    <w:p>
      <w:pPr>
        <w:adjustRightInd w:val="0"/>
        <w:snapToGrid w:val="0"/>
        <w:spacing w:line="560" w:lineRule="exact"/>
        <w:ind w:firstLine="640"/>
        <w:rPr>
          <w:rFonts w:ascii="仿宋_GB2312" w:hAnsi="Arial" w:eastAsia="仿宋_GB2312" w:cs="Arial"/>
          <w:sz w:val="32"/>
          <w:szCs w:val="32"/>
        </w:rPr>
      </w:pPr>
      <w:r>
        <w:rPr>
          <w:rFonts w:hint="eastAsia" w:ascii="仿宋_GB2312" w:hAnsi="Arial" w:eastAsia="仿宋_GB2312" w:cs="Arial"/>
          <w:sz w:val="32"/>
          <w:szCs w:val="32"/>
        </w:rPr>
        <w:t>5.如企业上市时注册地在市内其他区，且获得了区级工业主管部门（含中小企业或企业服务主管部门）针对企业上市直接给予的资金支持，则不得申报本项目。</w:t>
      </w:r>
    </w:p>
    <w:p>
      <w:pPr>
        <w:adjustRightInd w:val="0"/>
        <w:snapToGrid w:val="0"/>
        <w:spacing w:line="560" w:lineRule="exact"/>
        <w:ind w:firstLine="640"/>
        <w:rPr>
          <w:rFonts w:ascii="仿宋_GB2312" w:hAnsi="Arial" w:eastAsia="仿宋_GB2312" w:cs="Arial"/>
          <w:sz w:val="32"/>
          <w:szCs w:val="32"/>
        </w:rPr>
      </w:pPr>
      <w:r>
        <w:rPr>
          <w:rFonts w:hint="eastAsia" w:ascii="仿宋_GB2312" w:hAnsi="Arial" w:eastAsia="仿宋_GB2312" w:cs="Arial"/>
          <w:sz w:val="32"/>
          <w:szCs w:val="32"/>
        </w:rPr>
        <w:t>6.非工业企业也可申报本扶持项目。</w:t>
      </w:r>
    </w:p>
    <w:p>
      <w:pPr>
        <w:adjustRightInd w:val="0"/>
        <w:snapToGrid w:val="0"/>
        <w:spacing w:line="560" w:lineRule="exact"/>
        <w:ind w:firstLine="643" w:firstLineChars="200"/>
        <w:rPr>
          <w:rFonts w:ascii="仿宋_GB2312" w:hAnsi="Arial" w:eastAsia="仿宋_GB2312" w:cs="Arial"/>
          <w:sz w:val="32"/>
          <w:szCs w:val="32"/>
        </w:rPr>
      </w:pPr>
      <w:r>
        <w:rPr>
          <w:rFonts w:hint="eastAsia" w:ascii="仿宋_GB2312" w:hAnsi="Arial" w:eastAsia="仿宋_GB2312" w:cs="Arial"/>
          <w:b/>
          <w:bCs/>
          <w:sz w:val="32"/>
          <w:szCs w:val="32"/>
        </w:rPr>
        <w:t>（六）上市企业投资扶持项目</w:t>
      </w:r>
    </w:p>
    <w:p>
      <w:pPr>
        <w:adjustRightInd w:val="0"/>
        <w:snapToGrid w:val="0"/>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1.申报企业的注册地和统计地均在龙岗区。</w:t>
      </w:r>
    </w:p>
    <w:p>
      <w:pPr>
        <w:adjustRightInd w:val="0"/>
        <w:snapToGrid w:val="0"/>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2.上市企业完成的区内投资，且须在申报时已纳入区统计部门的固定资产投资统计。</w:t>
      </w:r>
    </w:p>
    <w:p>
      <w:pPr>
        <w:adjustRightInd w:val="0"/>
        <w:snapToGrid w:val="0"/>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3.企业需提供竣工决算报告。</w:t>
      </w:r>
    </w:p>
    <w:p>
      <w:pPr>
        <w:adjustRightInd w:val="0"/>
        <w:snapToGrid w:val="0"/>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4、如企业使用上市或再融资所募集的资金进行技术改造，且相应的技术改造项目已获得区技术改造扶持，则不得申报本扶持项目。</w:t>
      </w:r>
    </w:p>
    <w:p>
      <w:pPr>
        <w:adjustRightInd w:val="0"/>
        <w:snapToGrid w:val="0"/>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5.上市企业需在</w:t>
      </w:r>
      <w:r>
        <w:rPr>
          <w:rFonts w:hint="eastAsia" w:ascii="仿宋_GB2312" w:hAnsi="Arial" w:eastAsia="仿宋_GB2312" w:cs="Arial"/>
          <w:sz w:val="32"/>
          <w:szCs w:val="32"/>
        </w:rPr>
        <w:t>境内</w:t>
      </w:r>
      <w:r>
        <w:rPr>
          <w:rFonts w:hint="eastAsia" w:ascii="仿宋_GB2312" w:hAnsi="Arial" w:eastAsia="仿宋_GB2312" w:cs="Arial"/>
          <w:kern w:val="0"/>
          <w:sz w:val="32"/>
          <w:szCs w:val="32"/>
        </w:rPr>
        <w:t>证券主管部门对企业上市或再融资的批准文件生效日之后5年内申报本扶持项目，每次募资（以批文为准）只能申报一次。</w:t>
      </w:r>
    </w:p>
    <w:p>
      <w:pPr>
        <w:adjustRightInd w:val="0"/>
        <w:snapToGrid w:val="0"/>
        <w:spacing w:line="560" w:lineRule="exact"/>
        <w:ind w:firstLine="640" w:firstLineChars="200"/>
        <w:rPr>
          <w:rFonts w:ascii="仿宋_GB2312" w:hAnsi="Arial" w:eastAsia="仿宋_GB2312" w:cs="Arial"/>
          <w:sz w:val="32"/>
          <w:szCs w:val="32"/>
        </w:rPr>
      </w:pPr>
      <w:r>
        <w:rPr>
          <w:rFonts w:hint="eastAsia" w:ascii="仿宋_GB2312" w:hAnsi="Arial" w:eastAsia="仿宋_GB2312" w:cs="Arial"/>
          <w:kern w:val="0"/>
          <w:sz w:val="32"/>
          <w:szCs w:val="32"/>
        </w:rPr>
        <w:t>6.非工业企业也可申报本扶持项目。</w:t>
      </w:r>
    </w:p>
    <w:p>
      <w:pPr>
        <w:pStyle w:val="6"/>
        <w:shd w:val="clear" w:color="auto" w:fill="FFFFFF"/>
        <w:adjustRightInd w:val="0"/>
        <w:snapToGrid w:val="0"/>
        <w:spacing w:before="0" w:beforeAutospacing="0" w:after="0" w:afterAutospacing="0" w:line="520" w:lineRule="exact"/>
        <w:ind w:firstLine="643" w:firstLineChars="200"/>
        <w:rPr>
          <w:rFonts w:ascii="仿宋_GB2312" w:hAnsi="Arial" w:eastAsia="仿宋_GB2312" w:cs="Arial"/>
          <w:b/>
          <w:bCs/>
          <w:color w:val="auto"/>
          <w:sz w:val="32"/>
          <w:szCs w:val="32"/>
        </w:rPr>
      </w:pPr>
      <w:r>
        <w:rPr>
          <w:rFonts w:hint="eastAsia" w:ascii="仿宋_GB2312" w:hAnsi="Arial" w:eastAsia="仿宋_GB2312" w:cs="Arial"/>
          <w:b/>
          <w:bCs/>
          <w:color w:val="auto"/>
          <w:sz w:val="32"/>
          <w:szCs w:val="32"/>
        </w:rPr>
        <w:t>（七）战略性新兴产业扶持项目</w:t>
      </w:r>
    </w:p>
    <w:p>
      <w:pPr>
        <w:pStyle w:val="2"/>
        <w:spacing w:line="520" w:lineRule="exact"/>
        <w:ind w:firstLine="640" w:firstLineChars="200"/>
        <w:rPr>
          <w:rFonts w:ascii="仿宋_GB2312" w:eastAsia="仿宋_GB2312"/>
        </w:rPr>
      </w:pPr>
      <w:r>
        <w:rPr>
          <w:rFonts w:hint="eastAsia" w:ascii="仿宋_GB2312" w:hAnsi="仿宋" w:eastAsia="仿宋_GB2312" w:cs="仿宋"/>
          <w:sz w:val="32"/>
          <w:szCs w:val="32"/>
        </w:rPr>
        <w:t>项目单位需已获得《市工业和信息化局新兴产业扶持计划（高端装备制造、生物医药、新材料、人工智能、物联网）申报指南》（年度）以及《市工业和信息化局新一代信息技术产业扶持计划申请指南》（年度）资金扶持。</w:t>
      </w:r>
    </w:p>
    <w:p>
      <w:pPr>
        <w:pStyle w:val="6"/>
        <w:shd w:val="clear" w:color="auto" w:fill="FFFFFF"/>
        <w:adjustRightInd w:val="0"/>
        <w:snapToGrid w:val="0"/>
        <w:spacing w:before="0" w:beforeAutospacing="0" w:after="0" w:afterAutospacing="0" w:line="520" w:lineRule="exact"/>
        <w:ind w:firstLine="643" w:firstLineChars="200"/>
        <w:rPr>
          <w:rFonts w:ascii="仿宋_GB2312" w:hAnsi="Arial" w:eastAsia="仿宋_GB2312" w:cs="Arial"/>
          <w:b/>
          <w:bCs/>
          <w:color w:val="auto"/>
          <w:sz w:val="32"/>
          <w:szCs w:val="32"/>
        </w:rPr>
      </w:pPr>
      <w:r>
        <w:rPr>
          <w:rFonts w:hint="eastAsia" w:ascii="仿宋_GB2312" w:hAnsi="Arial" w:eastAsia="仿宋_GB2312" w:cs="Arial"/>
          <w:b/>
          <w:bCs/>
          <w:color w:val="auto"/>
          <w:sz w:val="32"/>
          <w:szCs w:val="32"/>
        </w:rPr>
        <w:t>（八）工业互联网重大活动扶持项目</w:t>
      </w:r>
    </w:p>
    <w:p>
      <w:pPr>
        <w:spacing w:line="520" w:lineRule="exact"/>
        <w:ind w:firstLine="640" w:firstLineChars="200"/>
        <w:rPr>
          <w:rFonts w:ascii="仿宋_GB2312" w:eastAsia="仿宋_GB2312"/>
        </w:rPr>
      </w:pPr>
      <w:r>
        <w:rPr>
          <w:rFonts w:hint="eastAsia" w:ascii="仿宋_GB2312" w:hAnsi="仿宋" w:eastAsia="仿宋_GB2312" w:cs="仿宋"/>
          <w:sz w:val="32"/>
          <w:szCs w:val="32"/>
        </w:rPr>
        <w:t>1.在龙岗区行政区域内依法登记注册、具有独立法人资格的企业、事业单位、社会组织，且项目实施地在龙岗区。</w:t>
      </w:r>
    </w:p>
    <w:p>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2.相关活动必须由区政府（或区工信部门）主办或协办，或者作为活动的指导单位。</w:t>
      </w:r>
    </w:p>
    <w:p>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3.资助申报主体须是活动主办单位，有多个主办单位的，应由承担民事责任的一方申报，并出具委托协议。政府主办项目可由承办单位代为申请。</w:t>
      </w:r>
    </w:p>
    <w:p>
      <w:pPr>
        <w:pStyle w:val="6"/>
        <w:shd w:val="clear" w:color="auto" w:fill="FFFFFF"/>
        <w:adjustRightInd w:val="0"/>
        <w:snapToGrid w:val="0"/>
        <w:spacing w:before="0" w:beforeAutospacing="0" w:after="0" w:afterAutospacing="0" w:line="560" w:lineRule="exact"/>
        <w:ind w:left="640"/>
        <w:rPr>
          <w:rFonts w:ascii="仿宋_GB2312" w:hAnsi="Arial" w:eastAsia="仿宋_GB2312" w:cs="Arial"/>
          <w:b/>
          <w:bCs/>
          <w:color w:val="auto"/>
          <w:sz w:val="32"/>
          <w:szCs w:val="32"/>
        </w:rPr>
      </w:pPr>
      <w:r>
        <w:rPr>
          <w:rFonts w:hint="eastAsia" w:ascii="仿宋_GB2312" w:hAnsi="仿宋" w:eastAsia="仿宋_GB2312" w:cs="Arial"/>
          <w:b/>
          <w:bCs/>
          <w:color w:val="auto"/>
          <w:sz w:val="32"/>
          <w:szCs w:val="32"/>
        </w:rPr>
        <w:t>（九）</w:t>
      </w:r>
      <w:r>
        <w:rPr>
          <w:rFonts w:hint="eastAsia" w:ascii="仿宋_GB2312" w:hAnsi="Arial" w:eastAsia="仿宋_GB2312" w:cs="Arial"/>
          <w:b/>
          <w:bCs/>
          <w:color w:val="auto"/>
          <w:sz w:val="32"/>
          <w:szCs w:val="32"/>
        </w:rPr>
        <w:t>时尚产业扶持项目</w:t>
      </w:r>
    </w:p>
    <w:p>
      <w:pPr>
        <w:adjustRightInd w:val="0"/>
        <w:snapToGrid w:val="0"/>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1.申报企业的注册地和统计地均在龙岗区。</w:t>
      </w:r>
    </w:p>
    <w:p>
      <w:pPr>
        <w:pStyle w:val="6"/>
        <w:shd w:val="clear" w:color="auto" w:fill="FFFFFF"/>
        <w:adjustRightInd w:val="0"/>
        <w:snapToGrid w:val="0"/>
        <w:spacing w:before="0" w:beforeAutospacing="0" w:after="0" w:afterAutospacing="0" w:line="560" w:lineRule="exact"/>
        <w:ind w:left="630"/>
        <w:rPr>
          <w:rFonts w:ascii="仿宋_GB2312" w:hAnsi="Arial" w:eastAsia="仿宋_GB2312" w:cs="Arial"/>
          <w:color w:val="auto"/>
          <w:sz w:val="32"/>
          <w:szCs w:val="32"/>
        </w:rPr>
      </w:pPr>
      <w:r>
        <w:rPr>
          <w:rFonts w:hint="eastAsia" w:ascii="仿宋_GB2312" w:hAnsi="Arial" w:eastAsia="仿宋_GB2312" w:cs="Arial"/>
          <w:color w:val="auto"/>
          <w:sz w:val="32"/>
          <w:szCs w:val="32"/>
        </w:rPr>
        <w:t>2.本扶持为核准制，企业应在获得相关扶持资金的当年或第二年提交扶持申请。</w:t>
      </w:r>
    </w:p>
    <w:p>
      <w:pPr>
        <w:pStyle w:val="6"/>
        <w:shd w:val="clear" w:color="auto" w:fill="FFFFFF"/>
        <w:adjustRightInd w:val="0"/>
        <w:snapToGrid w:val="0"/>
        <w:spacing w:before="0" w:beforeAutospacing="0" w:after="0" w:afterAutospacing="0" w:line="560" w:lineRule="exact"/>
        <w:ind w:left="630"/>
        <w:rPr>
          <w:rFonts w:ascii="仿宋_GB2312" w:hAnsi="Arial" w:eastAsia="仿宋_GB2312" w:cs="Arial"/>
          <w:b/>
          <w:bCs/>
          <w:color w:val="auto"/>
          <w:sz w:val="32"/>
          <w:szCs w:val="32"/>
        </w:rPr>
      </w:pPr>
      <w:r>
        <w:rPr>
          <w:rFonts w:hint="eastAsia" w:ascii="仿宋_GB2312" w:hAnsi="Arial" w:eastAsia="仿宋_GB2312" w:cs="Arial"/>
          <w:b/>
          <w:bCs/>
          <w:color w:val="auto"/>
          <w:sz w:val="32"/>
          <w:szCs w:val="32"/>
        </w:rPr>
        <w:t>（十）产业绿色升级扶持项目</w:t>
      </w:r>
    </w:p>
    <w:p>
      <w:pPr>
        <w:adjustRightInd w:val="0"/>
        <w:snapToGrid w:val="0"/>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1.注册地及统计地在龙岗区的法人企业；</w:t>
      </w:r>
    </w:p>
    <w:p>
      <w:pPr>
        <w:adjustRightInd w:val="0"/>
        <w:snapToGrid w:val="0"/>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2.申报单位属于工业和信息化领域企业且有实际生产制造环节，项目实施地址和生产制造地址均在深圳市龙岗区行政区域内（数据中心绿色化改造项目不要求有生产制造环节，但要求相关数据中心在龙岗区行政区域内）；</w:t>
      </w:r>
    </w:p>
    <w:p>
      <w:pPr>
        <w:adjustRightInd w:val="0"/>
        <w:snapToGrid w:val="0"/>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3.同一申报单位每年度最多申报一个产业绿色升级项目。</w:t>
      </w:r>
    </w:p>
    <w:p>
      <w:pPr>
        <w:pStyle w:val="6"/>
        <w:shd w:val="clear" w:color="auto" w:fill="FFFFFF"/>
        <w:adjustRightInd w:val="0"/>
        <w:snapToGrid w:val="0"/>
        <w:spacing w:before="0" w:beforeAutospacing="0" w:after="0" w:afterAutospacing="0" w:line="560" w:lineRule="exact"/>
        <w:ind w:left="630"/>
        <w:rPr>
          <w:rFonts w:ascii="仿宋_GB2312" w:hAnsi="Arial" w:eastAsia="仿宋_GB2312" w:cs="Arial"/>
          <w:b/>
          <w:bCs/>
          <w:color w:val="auto"/>
          <w:kern w:val="2"/>
          <w:sz w:val="32"/>
          <w:szCs w:val="32"/>
        </w:rPr>
      </w:pPr>
      <w:r>
        <w:rPr>
          <w:rFonts w:hint="eastAsia" w:ascii="仿宋_GB2312" w:hAnsi="Arial" w:eastAsia="仿宋_GB2312" w:cs="Arial"/>
          <w:b/>
          <w:bCs/>
          <w:color w:val="auto"/>
          <w:sz w:val="32"/>
          <w:szCs w:val="32"/>
        </w:rPr>
        <w:t>（十一）</w:t>
      </w:r>
      <w:r>
        <w:rPr>
          <w:rFonts w:hint="eastAsia" w:ascii="仿宋_GB2312" w:hAnsi="Arial" w:eastAsia="仿宋_GB2312" w:cs="Arial"/>
          <w:b/>
          <w:bCs/>
          <w:color w:val="auto"/>
          <w:kern w:val="2"/>
          <w:sz w:val="32"/>
          <w:szCs w:val="32"/>
        </w:rPr>
        <w:t>绿色制造体系创建扶持项目</w:t>
      </w:r>
    </w:p>
    <w:p>
      <w:pPr>
        <w:pStyle w:val="6"/>
        <w:shd w:val="clear" w:color="auto" w:fill="FFFFFF"/>
        <w:adjustRightInd w:val="0"/>
        <w:snapToGrid w:val="0"/>
        <w:spacing w:before="0" w:beforeAutospacing="0" w:after="0" w:afterAutospacing="0" w:line="560" w:lineRule="exact"/>
        <w:ind w:firstLine="640"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1.绿色工厂、绿色园区、绿色供应链、绿色产品创建扶持项目</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（1）注册地及统计地在龙岗区的法人企业；</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（2）项目须通过国家或省、市工信部门审核并公示；</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（3）申报单位已获得国家、省、市级绿色制造体系试点创建示范项目称号且该称号未被撤销、中止或终止。</w:t>
      </w:r>
    </w:p>
    <w:p>
      <w:pPr>
        <w:pStyle w:val="6"/>
        <w:shd w:val="clear" w:color="auto" w:fill="FFFFFF"/>
        <w:adjustRightInd w:val="0"/>
        <w:snapToGrid w:val="0"/>
        <w:spacing w:before="0" w:beforeAutospacing="0" w:after="0" w:afterAutospacing="0" w:line="560" w:lineRule="exact"/>
        <w:ind w:firstLine="640"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2.绿色企业扶持项目</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（1）注册地及统计地在龙岗区的法人企业；</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（2）项目须通过国家或省、市工信部门审核并公示；</w:t>
      </w:r>
    </w:p>
    <w:p>
      <w:pPr>
        <w:pStyle w:val="6"/>
        <w:shd w:val="clear" w:color="auto" w:fill="FFFFFF"/>
        <w:adjustRightInd w:val="0"/>
        <w:snapToGrid w:val="0"/>
        <w:spacing w:before="0" w:beforeAutospacing="0" w:after="0" w:afterAutospacing="0" w:line="560" w:lineRule="exact"/>
        <w:ind w:firstLine="643" w:firstLineChars="200"/>
        <w:rPr>
          <w:rFonts w:ascii="仿宋_GB2312" w:hAnsi="Arial" w:eastAsia="仿宋_GB2312" w:cs="Arial"/>
          <w:color w:val="auto"/>
          <w:sz w:val="32"/>
          <w:szCs w:val="32"/>
        </w:rPr>
      </w:pPr>
      <w:r>
        <w:rPr>
          <w:rFonts w:hint="eastAsia" w:ascii="仿宋_GB2312" w:eastAsia="仿宋_GB2312"/>
          <w:b/>
          <w:bCs/>
          <w:color w:val="auto"/>
          <w:sz w:val="32"/>
          <w:szCs w:val="32"/>
        </w:rPr>
        <w:t>（3）</w:t>
      </w:r>
      <w:r>
        <w:rPr>
          <w:rFonts w:hint="eastAsia" w:ascii="仿宋_GB2312" w:eastAsia="仿宋_GB2312"/>
          <w:color w:val="auto"/>
          <w:sz w:val="32"/>
          <w:szCs w:val="32"/>
        </w:rPr>
        <w:t>申报单位已获得国家绿色企业（特指工业和信息化部认定的绿色企业）称号且该称号未被撤销、中止或终止。</w:t>
      </w:r>
    </w:p>
    <w:p>
      <w:pPr>
        <w:pStyle w:val="6"/>
        <w:shd w:val="clear" w:color="auto" w:fill="FFFFFF"/>
        <w:adjustRightInd w:val="0"/>
        <w:snapToGrid w:val="0"/>
        <w:spacing w:before="0" w:beforeAutospacing="0" w:after="0" w:afterAutospacing="0" w:line="560" w:lineRule="exact"/>
        <w:ind w:left="630"/>
        <w:rPr>
          <w:rFonts w:ascii="仿宋_GB2312" w:hAnsi="Arial" w:eastAsia="仿宋_GB2312" w:cs="Arial"/>
          <w:b/>
          <w:bCs/>
          <w:color w:val="auto"/>
          <w:kern w:val="2"/>
          <w:sz w:val="32"/>
          <w:szCs w:val="32"/>
        </w:rPr>
      </w:pPr>
      <w:r>
        <w:rPr>
          <w:rFonts w:hint="eastAsia" w:ascii="仿宋_GB2312" w:hAnsi="Arial" w:eastAsia="仿宋_GB2312" w:cs="Arial"/>
          <w:b/>
          <w:bCs/>
          <w:color w:val="auto"/>
          <w:kern w:val="2"/>
          <w:sz w:val="32"/>
          <w:szCs w:val="32"/>
        </w:rPr>
        <w:t>3.</w:t>
      </w:r>
      <w:r>
        <w:rPr>
          <w:rFonts w:hint="eastAsia" w:ascii="仿宋_GB2312" w:hAnsi="Arial" w:eastAsia="仿宋_GB2312" w:cs="Arial"/>
          <w:color w:val="auto"/>
          <w:sz w:val="32"/>
          <w:szCs w:val="32"/>
        </w:rPr>
        <w:t>绿色数据中心扶持项目</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（1）注册地及统计地在龙岗区的法人企业；</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（2）项目须通过国家或省、市工信部门审核并公示；</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（3）申报单位已获得国家、省、市绿色数据中心称号且该称号未被撤销、中止或终止；</w:t>
      </w:r>
    </w:p>
    <w:p>
      <w:pPr>
        <w:pStyle w:val="6"/>
        <w:shd w:val="clear" w:color="auto" w:fill="FFFFFF"/>
        <w:adjustRightInd w:val="0"/>
        <w:snapToGrid w:val="0"/>
        <w:spacing w:before="0" w:beforeAutospacing="0" w:after="0" w:afterAutospacing="0" w:line="560" w:lineRule="exact"/>
        <w:ind w:firstLine="64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（4）数据中心地址在深圳市龙岗区行政区域内。</w:t>
      </w:r>
    </w:p>
    <w:p>
      <w:pPr>
        <w:pStyle w:val="6"/>
        <w:shd w:val="clear" w:color="auto" w:fill="FFFFFF"/>
        <w:adjustRightInd w:val="0"/>
        <w:snapToGrid w:val="0"/>
        <w:spacing w:before="0" w:beforeAutospacing="0" w:after="0" w:afterAutospacing="0" w:line="560" w:lineRule="exact"/>
        <w:ind w:left="630"/>
        <w:rPr>
          <w:rFonts w:ascii="仿宋_GB2312" w:hAnsi="Arial" w:eastAsia="仿宋_GB2312" w:cs="Arial"/>
          <w:b/>
          <w:bCs/>
          <w:color w:val="auto"/>
          <w:kern w:val="2"/>
          <w:sz w:val="32"/>
          <w:szCs w:val="32"/>
        </w:rPr>
      </w:pPr>
      <w:r>
        <w:rPr>
          <w:rFonts w:hint="eastAsia" w:ascii="仿宋_GB2312" w:hAnsi="Arial" w:eastAsia="仿宋_GB2312" w:cs="Arial"/>
          <w:b/>
          <w:bCs/>
          <w:color w:val="auto"/>
          <w:sz w:val="32"/>
          <w:szCs w:val="32"/>
        </w:rPr>
        <w:t>（十二）</w:t>
      </w:r>
      <w:r>
        <w:rPr>
          <w:rFonts w:hint="eastAsia" w:ascii="仿宋_GB2312" w:hAnsi="Arial" w:eastAsia="仿宋_GB2312" w:cs="Arial"/>
          <w:b/>
          <w:bCs/>
          <w:color w:val="auto"/>
          <w:kern w:val="2"/>
          <w:sz w:val="32"/>
          <w:szCs w:val="32"/>
        </w:rPr>
        <w:t>自愿性清洁生产配套扶持项目</w:t>
      </w:r>
    </w:p>
    <w:p>
      <w:pPr>
        <w:pStyle w:val="6"/>
        <w:shd w:val="clear" w:color="auto" w:fill="FFFFFF"/>
        <w:adjustRightInd w:val="0"/>
        <w:snapToGrid w:val="0"/>
        <w:spacing w:before="0" w:beforeAutospacing="0" w:after="0" w:afterAutospacing="0" w:line="560" w:lineRule="exact"/>
        <w:ind w:firstLine="640"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1.注册地及统计地在龙岗区的法人企业；</w:t>
      </w:r>
    </w:p>
    <w:p>
      <w:pPr>
        <w:pStyle w:val="6"/>
        <w:shd w:val="clear" w:color="auto" w:fill="FFFFFF"/>
        <w:adjustRightInd w:val="0"/>
        <w:snapToGrid w:val="0"/>
        <w:spacing w:before="0" w:beforeAutospacing="0" w:after="0" w:afterAutospacing="0" w:line="560" w:lineRule="exact"/>
        <w:ind w:firstLine="640"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2.每家企业只能享受1次自愿性清洁生产项目扶持的奖励，不得重复申报；</w:t>
      </w:r>
    </w:p>
    <w:p>
      <w:pPr>
        <w:pStyle w:val="6"/>
        <w:shd w:val="clear" w:color="auto" w:fill="FFFFFF"/>
        <w:adjustRightInd w:val="0"/>
        <w:snapToGrid w:val="0"/>
        <w:spacing w:before="0" w:beforeAutospacing="0" w:after="0" w:afterAutospacing="0" w:line="560" w:lineRule="exact"/>
        <w:ind w:firstLine="640"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3.申报单位已通过国家、省、市级自愿性清洁生产审核且未被撤销、中止或终止；</w:t>
      </w:r>
    </w:p>
    <w:p>
      <w:pPr>
        <w:pStyle w:val="6"/>
        <w:shd w:val="clear" w:color="auto" w:fill="FFFFFF"/>
        <w:adjustRightInd w:val="0"/>
        <w:snapToGrid w:val="0"/>
        <w:spacing w:before="0" w:beforeAutospacing="0" w:after="0" w:afterAutospacing="0" w:line="560" w:lineRule="exact"/>
        <w:ind w:firstLine="640"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4.申报单位属于工业和信息化领域企业，具有生产制造环节且该环节在深圳市龙岗区行政区域内。</w:t>
      </w:r>
    </w:p>
    <w:p>
      <w:pPr>
        <w:pStyle w:val="6"/>
        <w:shd w:val="clear" w:color="auto" w:fill="FFFFFF"/>
        <w:adjustRightInd w:val="0"/>
        <w:snapToGrid w:val="0"/>
        <w:spacing w:before="0" w:beforeAutospacing="0" w:after="0" w:afterAutospacing="0" w:line="560" w:lineRule="exact"/>
        <w:ind w:left="630"/>
        <w:rPr>
          <w:rFonts w:ascii="仿宋_GB2312" w:hAnsi="Arial" w:eastAsia="仿宋_GB2312" w:cs="Arial"/>
          <w:b/>
          <w:bCs/>
          <w:color w:val="auto"/>
          <w:kern w:val="2"/>
          <w:sz w:val="32"/>
          <w:szCs w:val="32"/>
        </w:rPr>
      </w:pPr>
      <w:r>
        <w:rPr>
          <w:rFonts w:hint="eastAsia" w:ascii="仿宋_GB2312" w:hAnsi="Arial" w:eastAsia="仿宋_GB2312" w:cs="Arial"/>
          <w:b/>
          <w:bCs/>
          <w:color w:val="auto"/>
          <w:sz w:val="32"/>
          <w:szCs w:val="32"/>
        </w:rPr>
        <w:t>（十三）</w:t>
      </w:r>
      <w:r>
        <w:rPr>
          <w:rFonts w:hint="eastAsia" w:ascii="仿宋_GB2312" w:hAnsi="Arial" w:eastAsia="仿宋_GB2312" w:cs="Arial"/>
          <w:b/>
          <w:bCs/>
          <w:color w:val="auto"/>
          <w:kern w:val="2"/>
          <w:sz w:val="32"/>
          <w:szCs w:val="32"/>
        </w:rPr>
        <w:t>绿色示范扶持项目</w:t>
      </w:r>
    </w:p>
    <w:p>
      <w:pPr>
        <w:pStyle w:val="6"/>
        <w:shd w:val="clear" w:color="auto" w:fill="FFFFFF"/>
        <w:adjustRightInd w:val="0"/>
        <w:snapToGrid w:val="0"/>
        <w:spacing w:before="0" w:beforeAutospacing="0" w:after="0" w:afterAutospacing="0" w:line="560" w:lineRule="exact"/>
        <w:ind w:left="64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1.规范公告示范企业扶持项目</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（1）注册地及统计地在龙岗区的法人企业；</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eastAsia="仿宋_GB2312"/>
          <w:bCs/>
          <w:color w:val="auto"/>
          <w:sz w:val="32"/>
          <w:szCs w:val="32"/>
        </w:rPr>
        <w:t>（2）</w:t>
      </w:r>
      <w:r>
        <w:rPr>
          <w:rFonts w:hint="eastAsia" w:ascii="仿宋_GB2312" w:eastAsia="仿宋_GB2312"/>
          <w:color w:val="auto"/>
          <w:sz w:val="32"/>
          <w:szCs w:val="32"/>
        </w:rPr>
        <w:t>申报单位已列入国家绿色低碳领域制造业规范公告企业名单且未被撤销、中止或终止</w:t>
      </w:r>
      <w:r>
        <w:rPr>
          <w:rFonts w:hint="eastAsia" w:ascii="仿宋_GB2312" w:hAnsi="Arial" w:eastAsia="仿宋_GB2312" w:cs="Arial"/>
          <w:color w:val="auto"/>
          <w:sz w:val="32"/>
          <w:szCs w:val="32"/>
        </w:rPr>
        <w:t>；</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（3）申报单位生产制造环节在龙岗区行政区域内；</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eastAsia="仿宋_GB2312"/>
          <w:bCs/>
          <w:color w:val="auto"/>
          <w:sz w:val="32"/>
          <w:szCs w:val="32"/>
        </w:rPr>
        <w:t>（4）</w:t>
      </w:r>
      <w:r>
        <w:rPr>
          <w:rFonts w:hint="eastAsia" w:ascii="仿宋_GB2312" w:eastAsia="仿宋_GB2312"/>
          <w:color w:val="auto"/>
          <w:sz w:val="32"/>
          <w:szCs w:val="32"/>
        </w:rPr>
        <w:t>相关产品生产制造环节在深圳市龙岗区行政区域内。</w:t>
      </w:r>
    </w:p>
    <w:p>
      <w:pPr>
        <w:pStyle w:val="6"/>
        <w:shd w:val="clear" w:color="auto" w:fill="FFFFFF"/>
        <w:adjustRightInd w:val="0"/>
        <w:snapToGrid w:val="0"/>
        <w:spacing w:before="0" w:beforeAutospacing="0" w:after="0" w:afterAutospacing="0" w:line="560" w:lineRule="exact"/>
        <w:ind w:firstLine="64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2.“能效领跑者”等扶持项目</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（1）注册地及统计地在龙岗区的法人企业；</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（2）申报单位是已获得国家、省、市能效“领跑者” 等资源能源节约和综合利用称号的工业和信息化企业且未被撤销、中止或终止；</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（3）申报单位生产制造环节在龙岗区行政区域内。</w:t>
      </w:r>
    </w:p>
    <w:p>
      <w:pPr>
        <w:pStyle w:val="6"/>
        <w:shd w:val="clear" w:color="auto" w:fill="FFFFFF"/>
        <w:adjustRightInd w:val="0"/>
        <w:snapToGrid w:val="0"/>
        <w:spacing w:before="0" w:beforeAutospacing="0" w:after="0" w:afterAutospacing="0" w:line="560" w:lineRule="exact"/>
        <w:ind w:firstLine="64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3.“能效之星” 等扶持项目</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（1）注册地及统计地在龙岗区的法人企业；</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（2）申报单位是工业企业，有产品列入国家、省、市“能效之星” 产品目录、节能机电设备（产品） 目录和绿色数据中心先进适用技术产品目录的且未被撤销、中止或终止， 产品生产制造环节在龙岗区行政区域内，该产品尚在正常生产和销售；</w:t>
      </w:r>
    </w:p>
    <w:p>
      <w:pPr>
        <w:pStyle w:val="6"/>
        <w:shd w:val="clear" w:color="auto" w:fill="FFFFFF"/>
        <w:adjustRightInd w:val="0"/>
        <w:snapToGrid w:val="0"/>
        <w:spacing w:before="0" w:beforeAutospacing="0" w:after="0" w:afterAutospacing="0" w:line="560" w:lineRule="exact"/>
        <w:ind w:firstLine="640" w:firstLineChars="200"/>
        <w:jc w:val="both"/>
        <w:rPr>
          <w:rFonts w:ascii="仿宋_GB2312" w:hAnsi="Arial" w:eastAsia="仿宋_GB2312" w:cs="Arial"/>
          <w:color w:val="auto"/>
          <w:sz w:val="32"/>
          <w:szCs w:val="32"/>
        </w:rPr>
      </w:pPr>
      <w:r>
        <w:rPr>
          <w:rFonts w:hint="eastAsia" w:ascii="仿宋_GB2312" w:hAnsi="Arial" w:eastAsia="仿宋_GB2312" w:cs="Arial"/>
          <w:color w:val="auto"/>
          <w:sz w:val="32"/>
          <w:szCs w:val="32"/>
        </w:rPr>
        <w:t>（3）同一型号产品累计只能获得一次奖励。</w:t>
      </w:r>
    </w:p>
    <w:p>
      <w:pPr>
        <w:pStyle w:val="6"/>
        <w:shd w:val="clear" w:color="auto" w:fill="FFFFFF"/>
        <w:adjustRightInd w:val="0"/>
        <w:snapToGrid w:val="0"/>
        <w:spacing w:before="0" w:beforeAutospacing="0" w:after="0" w:afterAutospacing="0" w:line="560" w:lineRule="exact"/>
        <w:ind w:firstLine="640"/>
        <w:jc w:val="center"/>
        <w:rPr>
          <w:rFonts w:ascii="黑体" w:hAnsi="黑体" w:eastAsia="黑体" w:cs="黑体"/>
          <w:color w:val="auto"/>
          <w:sz w:val="32"/>
          <w:szCs w:val="32"/>
        </w:rPr>
      </w:pPr>
      <w:r>
        <w:rPr>
          <w:rFonts w:hint="eastAsia" w:ascii="黑体" w:hAnsi="黑体" w:eastAsia="黑体" w:cs="黑体"/>
          <w:color w:val="auto"/>
          <w:sz w:val="32"/>
          <w:szCs w:val="32"/>
        </w:rPr>
        <w:t>第五章 项目申报和审核</w:t>
      </w:r>
    </w:p>
    <w:p>
      <w:pPr>
        <w:pStyle w:val="2"/>
        <w:adjustRightInd w:val="0"/>
        <w:snapToGrid w:val="0"/>
        <w:spacing w:line="560" w:lineRule="exact"/>
        <w:ind w:firstLine="660"/>
        <w:rPr>
          <w:rFonts w:ascii="仿宋" w:hAnsi="仿宋" w:eastAsia="仿宋" w:cs="Arial"/>
          <w:sz w:val="32"/>
          <w:szCs w:val="32"/>
        </w:rPr>
      </w:pPr>
      <w:r>
        <w:rPr>
          <w:rFonts w:hint="eastAsia" w:ascii="仿宋" w:hAnsi="仿宋" w:eastAsia="仿宋" w:cs="Arial"/>
          <w:b/>
          <w:bCs/>
          <w:sz w:val="32"/>
          <w:szCs w:val="32"/>
        </w:rPr>
        <w:t>第</w:t>
      </w:r>
      <w:r>
        <w:rPr>
          <w:rFonts w:hint="eastAsia" w:ascii="Arial" w:hAnsi="Arial" w:eastAsia="仿宋" w:cs="Arial"/>
          <w:b/>
          <w:bCs/>
          <w:sz w:val="32"/>
          <w:szCs w:val="32"/>
        </w:rPr>
        <w:t>二十三</w:t>
      </w:r>
      <w:r>
        <w:rPr>
          <w:rFonts w:hint="eastAsia" w:ascii="仿宋" w:hAnsi="仿宋" w:eastAsia="仿宋" w:cs="Arial"/>
          <w:b/>
          <w:bCs/>
          <w:sz w:val="32"/>
          <w:szCs w:val="32"/>
        </w:rPr>
        <w:t>条</w:t>
      </w:r>
      <w:r>
        <w:rPr>
          <w:rFonts w:hint="eastAsia" w:ascii="仿宋" w:hAnsi="仿宋" w:eastAsia="仿宋" w:cs="Arial"/>
          <w:sz w:val="32"/>
          <w:szCs w:val="32"/>
        </w:rPr>
        <w:t xml:space="preserve"> 区工业和信息化局根据本实施细则制定年度扶持计划项目申请指南（通知），在</w:t>
      </w:r>
      <w:r>
        <w:rPr>
          <w:rFonts w:hint="eastAsia" w:ascii="仿宋" w:hAnsi="仿宋" w:eastAsia="仿宋"/>
          <w:sz w:val="32"/>
          <w:szCs w:val="32"/>
        </w:rPr>
        <w:t>龙岗政府在线、区</w:t>
      </w:r>
      <w:r>
        <w:rPr>
          <w:rFonts w:hint="eastAsia" w:ascii="仿宋" w:hAnsi="仿宋" w:eastAsia="仿宋" w:cs="Arial"/>
          <w:sz w:val="32"/>
          <w:szCs w:val="32"/>
        </w:rPr>
        <w:t>工业和信息化局</w:t>
      </w:r>
      <w:r>
        <w:rPr>
          <w:rFonts w:hint="eastAsia" w:ascii="仿宋" w:hAnsi="仿宋" w:eastAsia="仿宋"/>
          <w:sz w:val="32"/>
          <w:szCs w:val="32"/>
        </w:rPr>
        <w:t>网站</w:t>
      </w:r>
      <w:r>
        <w:rPr>
          <w:rFonts w:hint="eastAsia" w:ascii="仿宋" w:hAnsi="仿宋" w:eastAsia="仿宋" w:cs="Arial"/>
          <w:sz w:val="32"/>
          <w:szCs w:val="32"/>
        </w:rPr>
        <w:t>发布,明确支持对象、资助标准、申报条件、受理时间、申报材料要求等内容。</w:t>
      </w:r>
    </w:p>
    <w:p>
      <w:pPr>
        <w:pStyle w:val="2"/>
        <w:adjustRightInd w:val="0"/>
        <w:snapToGrid w:val="0"/>
        <w:spacing w:line="560" w:lineRule="exact"/>
        <w:ind w:firstLine="660"/>
        <w:rPr>
          <w:rFonts w:ascii="仿宋" w:hAnsi="仿宋" w:eastAsia="仿宋" w:cs="Arial"/>
          <w:sz w:val="32"/>
          <w:szCs w:val="32"/>
        </w:rPr>
      </w:pPr>
      <w:r>
        <w:rPr>
          <w:rFonts w:hint="eastAsia" w:ascii="仿宋" w:hAnsi="仿宋" w:eastAsia="仿宋" w:cs="Arial"/>
          <w:b/>
          <w:bCs/>
          <w:sz w:val="32"/>
          <w:szCs w:val="32"/>
        </w:rPr>
        <w:t>第二十四条</w:t>
      </w:r>
      <w:r>
        <w:rPr>
          <w:rFonts w:hint="eastAsia" w:ascii="仿宋" w:hAnsi="仿宋" w:eastAsia="仿宋" w:cs="Arial"/>
          <w:sz w:val="32"/>
          <w:szCs w:val="32"/>
        </w:rPr>
        <w:t xml:space="preserve"> 项目单位根据申请指南要求，在网上平台在线填报项目信息，提交电子版材料。</w:t>
      </w:r>
    </w:p>
    <w:p>
      <w:pPr>
        <w:pStyle w:val="2"/>
        <w:adjustRightInd w:val="0"/>
        <w:snapToGrid w:val="0"/>
        <w:spacing w:line="560" w:lineRule="exact"/>
        <w:ind w:firstLine="660"/>
        <w:rPr>
          <w:rFonts w:ascii="仿宋" w:hAnsi="仿宋" w:eastAsia="仿宋" w:cs="Arial"/>
          <w:sz w:val="32"/>
          <w:szCs w:val="32"/>
        </w:rPr>
      </w:pPr>
      <w:r>
        <w:rPr>
          <w:rFonts w:hint="eastAsia" w:ascii="仿宋" w:hAnsi="仿宋" w:eastAsia="仿宋" w:cs="Arial"/>
          <w:b/>
          <w:bCs/>
          <w:sz w:val="32"/>
          <w:szCs w:val="32"/>
        </w:rPr>
        <w:t>第</w:t>
      </w:r>
      <w:r>
        <w:rPr>
          <w:rFonts w:hint="eastAsia" w:ascii="Arial" w:hAnsi="Arial" w:eastAsia="仿宋" w:cs="Arial"/>
          <w:b/>
          <w:bCs/>
          <w:sz w:val="32"/>
          <w:szCs w:val="32"/>
        </w:rPr>
        <w:t>二十五</w:t>
      </w:r>
      <w:r>
        <w:rPr>
          <w:rFonts w:hint="eastAsia" w:ascii="仿宋" w:hAnsi="仿宋" w:eastAsia="仿宋" w:cs="Arial"/>
          <w:b/>
          <w:bCs/>
          <w:sz w:val="32"/>
          <w:szCs w:val="32"/>
        </w:rPr>
        <w:t>条</w:t>
      </w:r>
      <w:r>
        <w:rPr>
          <w:rFonts w:hint="eastAsia" w:ascii="仿宋" w:hAnsi="仿宋" w:eastAsia="仿宋" w:cs="Arial"/>
          <w:sz w:val="32"/>
          <w:szCs w:val="32"/>
        </w:rPr>
        <w:t xml:space="preserve"> 区工业和信息化局组织开展对申报项目进行审核，并征求各有关单位意见，进行项目重复性核查以及申报单位注册地、统计地、是否属于国家、省、市、区有关部门联合惩戒的对象等情况。</w:t>
      </w:r>
    </w:p>
    <w:p>
      <w:pPr>
        <w:pStyle w:val="2"/>
        <w:adjustRightInd w:val="0"/>
        <w:snapToGrid w:val="0"/>
        <w:spacing w:line="560" w:lineRule="exact"/>
        <w:ind w:firstLine="660"/>
        <w:rPr>
          <w:rFonts w:ascii="仿宋" w:hAnsi="仿宋" w:eastAsia="仿宋" w:cs="Arial"/>
          <w:sz w:val="32"/>
          <w:szCs w:val="32"/>
        </w:rPr>
      </w:pPr>
      <w:r>
        <w:rPr>
          <w:rFonts w:hint="eastAsia" w:ascii="仿宋" w:hAnsi="仿宋" w:eastAsia="仿宋" w:cs="Arial"/>
          <w:b/>
          <w:bCs/>
          <w:sz w:val="32"/>
          <w:szCs w:val="32"/>
        </w:rPr>
        <w:t>第</w:t>
      </w:r>
      <w:r>
        <w:rPr>
          <w:rFonts w:hint="eastAsia" w:ascii="Arial" w:hAnsi="Arial" w:eastAsia="仿宋" w:cs="Arial"/>
          <w:b/>
          <w:bCs/>
          <w:sz w:val="32"/>
          <w:szCs w:val="32"/>
        </w:rPr>
        <w:t>二十六</w:t>
      </w:r>
      <w:r>
        <w:rPr>
          <w:rFonts w:hint="eastAsia" w:ascii="仿宋" w:hAnsi="仿宋" w:eastAsia="仿宋" w:cs="Arial"/>
          <w:b/>
          <w:bCs/>
          <w:sz w:val="32"/>
          <w:szCs w:val="32"/>
        </w:rPr>
        <w:t>条</w:t>
      </w:r>
      <w:r>
        <w:rPr>
          <w:rFonts w:hint="eastAsia" w:ascii="仿宋" w:hAnsi="仿宋" w:eastAsia="仿宋" w:cs="Arial"/>
          <w:sz w:val="32"/>
          <w:szCs w:val="32"/>
        </w:rPr>
        <w:t xml:space="preserve"> 区工业和信息化局对项目进行材料审核，可委托第三方专业服务机构组织开展专家评审和专项审计等相关工作,第三方专业服务机构向区工业和信息化局提交专家评审、专项审计报告。</w:t>
      </w:r>
    </w:p>
    <w:p>
      <w:pPr>
        <w:pStyle w:val="2"/>
        <w:adjustRightInd w:val="0"/>
        <w:snapToGrid w:val="0"/>
        <w:spacing w:line="560" w:lineRule="exact"/>
        <w:ind w:firstLine="660"/>
        <w:rPr>
          <w:rFonts w:ascii="仿宋" w:hAnsi="仿宋" w:eastAsia="仿宋" w:cs="Arial"/>
          <w:sz w:val="32"/>
          <w:szCs w:val="32"/>
        </w:rPr>
      </w:pPr>
      <w:r>
        <w:rPr>
          <w:rFonts w:hint="eastAsia" w:ascii="仿宋" w:hAnsi="仿宋" w:eastAsia="仿宋" w:cs="Arial"/>
          <w:b/>
          <w:bCs/>
          <w:sz w:val="32"/>
          <w:szCs w:val="32"/>
        </w:rPr>
        <w:t>第</w:t>
      </w:r>
      <w:r>
        <w:rPr>
          <w:rFonts w:hint="eastAsia" w:ascii="Arial" w:hAnsi="Arial" w:eastAsia="仿宋" w:cs="Arial"/>
          <w:b/>
          <w:bCs/>
          <w:sz w:val="32"/>
          <w:szCs w:val="32"/>
        </w:rPr>
        <w:t>二十七</w:t>
      </w:r>
      <w:r>
        <w:rPr>
          <w:rFonts w:hint="eastAsia" w:ascii="仿宋" w:hAnsi="仿宋" w:eastAsia="仿宋" w:cs="Arial"/>
          <w:b/>
          <w:bCs/>
          <w:sz w:val="32"/>
          <w:szCs w:val="32"/>
        </w:rPr>
        <w:t>条</w:t>
      </w:r>
      <w:r>
        <w:rPr>
          <w:rFonts w:hint="eastAsia" w:ascii="仿宋" w:hAnsi="仿宋" w:eastAsia="仿宋" w:cs="Arial"/>
          <w:sz w:val="32"/>
          <w:szCs w:val="32"/>
        </w:rPr>
        <w:t xml:space="preserve"> 区工业和信息化局根据年度资金安排，结合项目专家评审、专项审计结果等情况，编制资金扶持计划，确定拟扶持项目名单和扶持金额。</w:t>
      </w:r>
    </w:p>
    <w:p>
      <w:pPr>
        <w:adjustRightInd w:val="0"/>
        <w:snapToGrid w:val="0"/>
        <w:spacing w:line="560" w:lineRule="exact"/>
        <w:ind w:firstLine="645"/>
        <w:rPr>
          <w:rFonts w:ascii="仿宋" w:hAnsi="仿宋" w:eastAsia="仿宋"/>
          <w:sz w:val="32"/>
          <w:szCs w:val="32"/>
        </w:rPr>
      </w:pPr>
      <w:r>
        <w:rPr>
          <w:rFonts w:hint="eastAsia" w:ascii="仿宋" w:hAnsi="仿宋" w:eastAsia="仿宋" w:cs="Arial"/>
          <w:b/>
          <w:bCs/>
          <w:sz w:val="32"/>
          <w:szCs w:val="32"/>
        </w:rPr>
        <w:t>第</w:t>
      </w:r>
      <w:r>
        <w:rPr>
          <w:rFonts w:hint="eastAsia" w:ascii="Arial" w:hAnsi="Arial" w:eastAsia="仿宋" w:cs="Arial"/>
          <w:b/>
          <w:bCs/>
          <w:sz w:val="32"/>
          <w:szCs w:val="32"/>
        </w:rPr>
        <w:t>二十八</w:t>
      </w:r>
      <w:r>
        <w:rPr>
          <w:rFonts w:hint="eastAsia" w:ascii="仿宋" w:hAnsi="仿宋" w:eastAsia="仿宋" w:cs="Arial"/>
          <w:b/>
          <w:bCs/>
          <w:sz w:val="32"/>
          <w:szCs w:val="32"/>
        </w:rPr>
        <w:t>条</w:t>
      </w:r>
      <w:r>
        <w:rPr>
          <w:rFonts w:hint="eastAsia" w:ascii="仿宋" w:hAnsi="仿宋" w:eastAsia="仿宋" w:cs="Arial"/>
          <w:sz w:val="32"/>
          <w:szCs w:val="32"/>
        </w:rPr>
        <w:t xml:space="preserve"> </w:t>
      </w:r>
      <w:r>
        <w:rPr>
          <w:rFonts w:hint="eastAsia" w:ascii="仿宋" w:hAnsi="仿宋" w:eastAsia="仿宋"/>
          <w:sz w:val="32"/>
          <w:szCs w:val="32"/>
        </w:rPr>
        <w:t>审核通过的拟扶持项目按规定在龙岗政府在线和区</w:t>
      </w:r>
      <w:r>
        <w:rPr>
          <w:rFonts w:hint="eastAsia" w:ascii="仿宋" w:hAnsi="仿宋" w:eastAsia="仿宋" w:cs="Arial"/>
          <w:sz w:val="32"/>
          <w:szCs w:val="32"/>
        </w:rPr>
        <w:t>工业和信息化局</w:t>
      </w:r>
      <w:r>
        <w:rPr>
          <w:rFonts w:hint="eastAsia" w:ascii="仿宋" w:hAnsi="仿宋" w:eastAsia="仿宋"/>
          <w:sz w:val="32"/>
          <w:szCs w:val="32"/>
        </w:rPr>
        <w:t>网站进行公示，公示时间为五个工作日。对公示内容有异议的，可在公示期内向区工业和信息化局书面提出。对于公示有异议的，由区工业和信息化局进行调查或组织重审，不予扶持的向申报单位反馈理由。</w:t>
      </w:r>
    </w:p>
    <w:p>
      <w:pPr>
        <w:pStyle w:val="2"/>
      </w:pPr>
    </w:p>
    <w:p>
      <w:pPr>
        <w:pStyle w:val="6"/>
        <w:shd w:val="clear" w:color="auto" w:fill="FFFFFF"/>
        <w:adjustRightInd w:val="0"/>
        <w:snapToGrid w:val="0"/>
        <w:spacing w:before="0" w:beforeAutospacing="0" w:after="0" w:afterAutospacing="0" w:line="560" w:lineRule="exact"/>
        <w:ind w:firstLine="640"/>
        <w:jc w:val="center"/>
        <w:rPr>
          <w:rFonts w:ascii="黑体" w:hAnsi="黑体" w:eastAsia="黑体" w:cs="黑体"/>
          <w:color w:val="auto"/>
          <w:sz w:val="32"/>
          <w:szCs w:val="32"/>
        </w:rPr>
      </w:pPr>
      <w:r>
        <w:rPr>
          <w:rFonts w:hint="eastAsia" w:ascii="黑体" w:hAnsi="黑体" w:eastAsia="黑体" w:cs="黑体"/>
          <w:color w:val="auto"/>
          <w:sz w:val="32"/>
          <w:szCs w:val="32"/>
        </w:rPr>
        <w:t>第六章 绩效和监督管理</w:t>
      </w:r>
    </w:p>
    <w:p>
      <w:pPr>
        <w:pStyle w:val="2"/>
        <w:adjustRightInd w:val="0"/>
        <w:snapToGrid w:val="0"/>
        <w:spacing w:line="560" w:lineRule="exact"/>
        <w:ind w:firstLine="660"/>
        <w:rPr>
          <w:rFonts w:ascii="仿宋" w:hAnsi="仿宋" w:eastAsia="仿宋" w:cs="Arial"/>
          <w:sz w:val="32"/>
          <w:szCs w:val="32"/>
        </w:rPr>
      </w:pPr>
      <w:r>
        <w:rPr>
          <w:rFonts w:hint="eastAsia" w:ascii="仿宋" w:hAnsi="仿宋" w:eastAsia="仿宋" w:cs="Arial"/>
          <w:b/>
          <w:bCs/>
          <w:sz w:val="32"/>
          <w:szCs w:val="32"/>
        </w:rPr>
        <w:t>第</w:t>
      </w:r>
      <w:r>
        <w:rPr>
          <w:rFonts w:hint="eastAsia" w:ascii="Arial" w:hAnsi="Arial" w:eastAsia="仿宋" w:cs="Arial"/>
          <w:b/>
          <w:bCs/>
          <w:sz w:val="32"/>
          <w:szCs w:val="32"/>
        </w:rPr>
        <w:t>二十九</w:t>
      </w:r>
      <w:r>
        <w:rPr>
          <w:rFonts w:hint="eastAsia" w:ascii="仿宋" w:hAnsi="仿宋" w:eastAsia="仿宋" w:cs="Arial"/>
          <w:b/>
          <w:bCs/>
          <w:sz w:val="32"/>
          <w:szCs w:val="32"/>
        </w:rPr>
        <w:t>条</w:t>
      </w:r>
      <w:r>
        <w:rPr>
          <w:rFonts w:hint="eastAsia" w:ascii="仿宋" w:hAnsi="仿宋" w:eastAsia="仿宋" w:cs="Arial"/>
          <w:sz w:val="32"/>
          <w:szCs w:val="32"/>
        </w:rPr>
        <w:t xml:space="preserve"> 区工业和信息化局根据工作安排委托第三方服务机构对已获扶持项目和资金使用整体情况进行绩效评价。区工业和信息化局配合区财政局开展专项资金的重点绩效评价。</w:t>
      </w:r>
    </w:p>
    <w:p>
      <w:pPr>
        <w:pStyle w:val="2"/>
        <w:adjustRightInd w:val="0"/>
        <w:snapToGrid w:val="0"/>
        <w:spacing w:line="560" w:lineRule="exact"/>
        <w:ind w:firstLine="660"/>
        <w:rPr>
          <w:rFonts w:ascii="仿宋" w:hAnsi="仿宋" w:eastAsia="仿宋" w:cs="Arial"/>
          <w:sz w:val="32"/>
          <w:szCs w:val="32"/>
        </w:rPr>
      </w:pPr>
      <w:r>
        <w:rPr>
          <w:rFonts w:hint="eastAsia" w:ascii="仿宋" w:hAnsi="仿宋" w:eastAsia="仿宋" w:cs="Arial"/>
          <w:b/>
          <w:bCs/>
          <w:sz w:val="32"/>
          <w:szCs w:val="32"/>
        </w:rPr>
        <w:t>第</w:t>
      </w:r>
      <w:r>
        <w:rPr>
          <w:rFonts w:hint="eastAsia" w:ascii="Arial" w:hAnsi="Arial" w:eastAsia="仿宋" w:cs="Arial"/>
          <w:b/>
          <w:bCs/>
          <w:sz w:val="32"/>
          <w:szCs w:val="32"/>
        </w:rPr>
        <w:t>三十</w:t>
      </w:r>
      <w:r>
        <w:rPr>
          <w:rFonts w:hint="eastAsia" w:ascii="仿宋" w:hAnsi="仿宋" w:eastAsia="仿宋" w:cs="Arial"/>
          <w:b/>
          <w:bCs/>
          <w:sz w:val="32"/>
          <w:szCs w:val="32"/>
        </w:rPr>
        <w:t>条</w:t>
      </w:r>
      <w:r>
        <w:rPr>
          <w:rFonts w:hint="eastAsia" w:ascii="仿宋" w:hAnsi="仿宋" w:eastAsia="仿宋" w:cs="Arial"/>
          <w:sz w:val="32"/>
          <w:szCs w:val="32"/>
        </w:rPr>
        <w:t xml:space="preserve"> 区工业和信息化局各部门应严格遵守项目受理、审核、跟踪检查、绩效评价过程中的各项规定，忠于职守、依法行政、廉洁自律，建立健全责任倒查机制。</w:t>
      </w:r>
    </w:p>
    <w:p>
      <w:pPr>
        <w:pStyle w:val="2"/>
        <w:adjustRightInd w:val="0"/>
        <w:snapToGrid w:val="0"/>
        <w:spacing w:line="560" w:lineRule="exact"/>
        <w:ind w:firstLine="660"/>
        <w:rPr>
          <w:rFonts w:ascii="仿宋" w:hAnsi="仿宋" w:eastAsia="仿宋" w:cs="Arial"/>
          <w:sz w:val="32"/>
          <w:szCs w:val="32"/>
        </w:rPr>
      </w:pPr>
      <w:r>
        <w:rPr>
          <w:rFonts w:hint="eastAsia" w:ascii="仿宋" w:hAnsi="仿宋" w:eastAsia="仿宋" w:cs="Arial"/>
          <w:b/>
          <w:bCs/>
          <w:sz w:val="32"/>
          <w:szCs w:val="32"/>
        </w:rPr>
        <w:t>第</w:t>
      </w:r>
      <w:r>
        <w:rPr>
          <w:rFonts w:hint="eastAsia" w:ascii="Arial" w:hAnsi="Arial" w:eastAsia="仿宋" w:cs="Arial"/>
          <w:b/>
          <w:bCs/>
          <w:sz w:val="32"/>
          <w:szCs w:val="32"/>
        </w:rPr>
        <w:t>三十一</w:t>
      </w:r>
      <w:r>
        <w:rPr>
          <w:rFonts w:hint="eastAsia" w:ascii="仿宋" w:hAnsi="仿宋" w:eastAsia="仿宋" w:cs="Arial"/>
          <w:b/>
          <w:bCs/>
          <w:sz w:val="32"/>
          <w:szCs w:val="32"/>
        </w:rPr>
        <w:t>条</w:t>
      </w:r>
      <w:r>
        <w:rPr>
          <w:rFonts w:hint="eastAsia" w:ascii="仿宋" w:hAnsi="仿宋" w:eastAsia="仿宋" w:cs="Arial"/>
          <w:sz w:val="32"/>
          <w:szCs w:val="32"/>
        </w:rPr>
        <w:t xml:space="preserve"> 第三方服务机构应坚持第三方的立场和行为规范，确保项目申报材料审核过程的独立、客观、公正。对在项目评审、评估、审计以及提供其他服务过程中，存在弄虚作假、隐瞒事实真相、与申报单位串通作弊、出具虚假报告等行为的，取消其对项目评审、评估、审计以及提供其他服务的资格，由区工业和信息化局按照国家、省、市、区失信联合惩戒有关规定予以处理，并按照有关法律、法规、规章的规定追究相应责任；造成专项资金损失的，依法追究其法律责任；涉嫌犯罪的，依法移交司法机关处理。</w:t>
      </w:r>
    </w:p>
    <w:p>
      <w:pPr>
        <w:pStyle w:val="2"/>
        <w:adjustRightInd w:val="0"/>
        <w:snapToGrid w:val="0"/>
        <w:spacing w:line="560" w:lineRule="exact"/>
        <w:ind w:firstLine="660"/>
        <w:rPr>
          <w:rFonts w:ascii="仿宋" w:hAnsi="仿宋" w:eastAsia="仿宋" w:cs="Arial"/>
          <w:sz w:val="32"/>
          <w:szCs w:val="32"/>
        </w:rPr>
      </w:pPr>
      <w:r>
        <w:rPr>
          <w:rFonts w:hint="eastAsia" w:ascii="仿宋" w:hAnsi="仿宋" w:eastAsia="仿宋" w:cs="Arial"/>
          <w:b/>
          <w:bCs/>
          <w:sz w:val="32"/>
          <w:szCs w:val="32"/>
        </w:rPr>
        <w:t>第</w:t>
      </w:r>
      <w:r>
        <w:rPr>
          <w:rFonts w:hint="eastAsia" w:ascii="Arial" w:hAnsi="Arial" w:eastAsia="仿宋" w:cs="Arial"/>
          <w:b/>
          <w:bCs/>
          <w:sz w:val="32"/>
          <w:szCs w:val="32"/>
        </w:rPr>
        <w:t>三十二</w:t>
      </w:r>
      <w:r>
        <w:rPr>
          <w:rFonts w:hint="eastAsia" w:ascii="仿宋" w:hAnsi="仿宋" w:eastAsia="仿宋" w:cs="Arial"/>
          <w:b/>
          <w:bCs/>
          <w:sz w:val="32"/>
          <w:szCs w:val="32"/>
        </w:rPr>
        <w:t>条</w:t>
      </w:r>
      <w:r>
        <w:rPr>
          <w:rFonts w:hint="eastAsia" w:ascii="仿宋" w:hAnsi="仿宋" w:eastAsia="仿宋" w:cs="Arial"/>
          <w:sz w:val="32"/>
          <w:szCs w:val="32"/>
        </w:rPr>
        <w:t xml:space="preserve"> 参与评审的专家利用评审机会以权谋私或弄虚作假的，一经发现取消其在区工业和信息化局的专家资格，并向社会公示和追究其相关责任；涉嫌犯罪的，依法移交司法机关处理。</w:t>
      </w:r>
    </w:p>
    <w:p>
      <w:pPr>
        <w:pStyle w:val="2"/>
        <w:adjustRightInd w:val="0"/>
        <w:snapToGrid w:val="0"/>
        <w:spacing w:line="560" w:lineRule="exact"/>
        <w:ind w:firstLine="660"/>
        <w:rPr>
          <w:rFonts w:ascii="仿宋" w:hAnsi="仿宋" w:eastAsia="仿宋" w:cs="Arial"/>
          <w:sz w:val="32"/>
          <w:szCs w:val="32"/>
        </w:rPr>
      </w:pPr>
      <w:r>
        <w:rPr>
          <w:rFonts w:hint="eastAsia" w:ascii="仿宋" w:hAnsi="仿宋" w:eastAsia="仿宋" w:cs="Arial"/>
          <w:b/>
          <w:bCs/>
          <w:sz w:val="32"/>
          <w:szCs w:val="32"/>
        </w:rPr>
        <w:t>第</w:t>
      </w:r>
      <w:r>
        <w:rPr>
          <w:rFonts w:hint="eastAsia" w:ascii="Arial" w:hAnsi="Arial" w:eastAsia="仿宋" w:cs="Arial"/>
          <w:b/>
          <w:bCs/>
          <w:sz w:val="32"/>
          <w:szCs w:val="32"/>
        </w:rPr>
        <w:t>三十三</w:t>
      </w:r>
      <w:r>
        <w:rPr>
          <w:rFonts w:hint="eastAsia" w:ascii="仿宋" w:hAnsi="仿宋" w:eastAsia="仿宋" w:cs="Arial"/>
          <w:b/>
          <w:bCs/>
          <w:sz w:val="32"/>
          <w:szCs w:val="32"/>
        </w:rPr>
        <w:t>条</w:t>
      </w:r>
      <w:r>
        <w:rPr>
          <w:rFonts w:hint="eastAsia" w:ascii="仿宋" w:hAnsi="仿宋" w:eastAsia="仿宋" w:cs="Arial"/>
          <w:sz w:val="32"/>
          <w:szCs w:val="32"/>
        </w:rPr>
        <w:t xml:space="preserve"> 申报单位应如实申报，按照国家有关税务、财务制度的规定进行税收和账务处理，并自觉接受区工业和信息化局、财政局、审计局等部门的监督检查，配合有关部门做好数据报送和绩效评价等工作，切实履行各项职责。</w:t>
      </w:r>
    </w:p>
    <w:p>
      <w:pPr>
        <w:pStyle w:val="2"/>
        <w:adjustRightInd w:val="0"/>
        <w:snapToGrid w:val="0"/>
        <w:spacing w:line="560" w:lineRule="exact"/>
        <w:ind w:firstLine="660"/>
        <w:rPr>
          <w:rFonts w:ascii="仿宋" w:hAnsi="仿宋" w:eastAsia="仿宋" w:cs="Arial"/>
          <w:sz w:val="32"/>
          <w:szCs w:val="32"/>
        </w:rPr>
      </w:pPr>
      <w:r>
        <w:rPr>
          <w:rFonts w:hint="eastAsia" w:ascii="仿宋" w:hAnsi="仿宋" w:eastAsia="仿宋" w:cs="Arial"/>
          <w:b/>
          <w:bCs/>
          <w:sz w:val="32"/>
          <w:szCs w:val="32"/>
        </w:rPr>
        <w:t>第三十</w:t>
      </w:r>
      <w:r>
        <w:rPr>
          <w:rFonts w:hint="eastAsia" w:ascii="Arial" w:hAnsi="Arial" w:eastAsia="仿宋" w:cs="Arial"/>
          <w:b/>
          <w:bCs/>
          <w:sz w:val="32"/>
          <w:szCs w:val="32"/>
        </w:rPr>
        <w:t>四</w:t>
      </w:r>
      <w:r>
        <w:rPr>
          <w:rFonts w:hint="eastAsia" w:ascii="仿宋" w:hAnsi="仿宋" w:eastAsia="仿宋" w:cs="Arial"/>
          <w:b/>
          <w:bCs/>
          <w:sz w:val="32"/>
          <w:szCs w:val="32"/>
        </w:rPr>
        <w:t>条</w:t>
      </w:r>
      <w:r>
        <w:rPr>
          <w:rFonts w:hint="eastAsia" w:ascii="仿宋" w:hAnsi="仿宋" w:eastAsia="仿宋" w:cs="Arial"/>
          <w:sz w:val="32"/>
          <w:szCs w:val="32"/>
        </w:rPr>
        <w:t xml:space="preserve"> 在专项资金扶持计划项目申报、审核、管理、验收、绩效评价等过程中，任何机构和个人存在弄虚作假、非法骗取、恶意串通、提成牟利、侵占专项资金、恶意重复申报、阻挠或故意规避对项目实施监督管理及其他不良行为的，区工业和信息化局按照国家、省、市、区失信联合惩戒有关规定予以处理，并按照有关法律、法规、规章的规定追究相应责任，涉嫌犯罪的，依法移送司法机关处理。</w:t>
      </w:r>
    </w:p>
    <w:p>
      <w:pPr>
        <w:pStyle w:val="2"/>
        <w:adjustRightInd w:val="0"/>
        <w:snapToGrid w:val="0"/>
        <w:spacing w:line="560" w:lineRule="exact"/>
        <w:ind w:firstLine="660"/>
        <w:rPr>
          <w:rFonts w:ascii="仿宋" w:hAnsi="仿宋" w:eastAsia="仿宋" w:cs="Arial"/>
          <w:sz w:val="32"/>
          <w:szCs w:val="32"/>
        </w:rPr>
      </w:pPr>
      <w:r>
        <w:rPr>
          <w:rFonts w:hint="eastAsia" w:ascii="仿宋" w:hAnsi="仿宋" w:eastAsia="仿宋" w:cs="Arial"/>
          <w:b/>
          <w:bCs/>
          <w:sz w:val="32"/>
          <w:szCs w:val="32"/>
        </w:rPr>
        <w:t>第三十五条</w:t>
      </w:r>
      <w:r>
        <w:rPr>
          <w:rFonts w:hint="eastAsia" w:ascii="仿宋" w:hAnsi="仿宋" w:eastAsia="仿宋" w:cs="Arial"/>
          <w:sz w:val="32"/>
          <w:szCs w:val="32"/>
        </w:rPr>
        <w:t xml:space="preserve"> 申报单位及申报项目存在以下情况之一的不予扶持，已取得资金的，由区工业和信息化局会同区财政局督促项目企业退回全部专项资金：</w:t>
      </w:r>
    </w:p>
    <w:p>
      <w:pPr>
        <w:pStyle w:val="2"/>
        <w:adjustRightInd w:val="0"/>
        <w:snapToGrid w:val="0"/>
        <w:spacing w:line="560" w:lineRule="exact"/>
        <w:ind w:firstLine="660"/>
        <w:rPr>
          <w:rFonts w:ascii="仿宋" w:hAnsi="仿宋" w:eastAsia="仿宋" w:cs="Arial"/>
          <w:sz w:val="32"/>
          <w:szCs w:val="32"/>
        </w:rPr>
      </w:pPr>
      <w:r>
        <w:rPr>
          <w:rFonts w:hint="eastAsia" w:ascii="仿宋" w:hAnsi="仿宋" w:eastAsia="仿宋" w:cs="Arial"/>
          <w:sz w:val="32"/>
          <w:szCs w:val="32"/>
        </w:rPr>
        <w:t>1.按照国家、省、市、区联合惩戒政策和制度规定，申报企业被列为联合惩戒对象，且在惩戒期内的；</w:t>
      </w:r>
    </w:p>
    <w:p>
      <w:pPr>
        <w:pStyle w:val="2"/>
        <w:adjustRightInd w:val="0"/>
        <w:snapToGrid w:val="0"/>
        <w:spacing w:line="560" w:lineRule="exact"/>
        <w:ind w:firstLine="660"/>
        <w:rPr>
          <w:rFonts w:ascii="仿宋" w:hAnsi="仿宋" w:eastAsia="仿宋" w:cs="Arial"/>
          <w:sz w:val="32"/>
          <w:szCs w:val="32"/>
        </w:rPr>
      </w:pPr>
      <w:r>
        <w:rPr>
          <w:rFonts w:hint="eastAsia" w:ascii="仿宋" w:hAnsi="仿宋" w:eastAsia="仿宋" w:cs="Arial"/>
          <w:sz w:val="32"/>
          <w:szCs w:val="32"/>
        </w:rPr>
        <w:t>2.申报单位或申报项目实际情况与项目材料不符或提供虚假材料；</w:t>
      </w:r>
    </w:p>
    <w:p>
      <w:pPr>
        <w:pStyle w:val="2"/>
        <w:adjustRightInd w:val="0"/>
        <w:snapToGrid w:val="0"/>
        <w:spacing w:line="560" w:lineRule="exact"/>
        <w:ind w:firstLine="660"/>
        <w:rPr>
          <w:rFonts w:ascii="仿宋" w:hAnsi="仿宋" w:eastAsia="仿宋" w:cs="Arial"/>
          <w:sz w:val="32"/>
          <w:szCs w:val="32"/>
        </w:rPr>
      </w:pPr>
      <w:r>
        <w:rPr>
          <w:rFonts w:hint="eastAsia" w:ascii="仿宋" w:hAnsi="仿宋" w:eastAsia="仿宋" w:cs="Arial"/>
          <w:sz w:val="32"/>
          <w:szCs w:val="32"/>
        </w:rPr>
        <w:t>3.根据法律、法规、规章和其他相关文件明确规定不予扶持的其他情况。</w:t>
      </w:r>
    </w:p>
    <w:p>
      <w:pPr>
        <w:pStyle w:val="2"/>
        <w:adjustRightInd w:val="0"/>
        <w:snapToGrid w:val="0"/>
        <w:spacing w:line="560" w:lineRule="exact"/>
        <w:jc w:val="center"/>
        <w:rPr>
          <w:rFonts w:ascii="黑体" w:hAnsi="黑体" w:eastAsia="黑体" w:cs="黑体"/>
          <w:sz w:val="32"/>
          <w:szCs w:val="32"/>
        </w:rPr>
      </w:pPr>
      <w:r>
        <w:rPr>
          <w:rFonts w:hint="eastAsia" w:ascii="黑体" w:hAnsi="黑体" w:eastAsia="黑体" w:cs="黑体"/>
          <w:sz w:val="32"/>
          <w:szCs w:val="32"/>
        </w:rPr>
        <w:t>第七章 附则</w:t>
      </w:r>
    </w:p>
    <w:p>
      <w:pPr>
        <w:pStyle w:val="2"/>
        <w:adjustRightInd w:val="0"/>
        <w:snapToGrid w:val="0"/>
        <w:spacing w:line="560" w:lineRule="exact"/>
        <w:ind w:firstLine="643" w:firstLineChars="200"/>
        <w:jc w:val="left"/>
        <w:rPr>
          <w:rFonts w:ascii="仿宋" w:hAnsi="仿宋" w:eastAsia="仿宋" w:cs="Arial"/>
          <w:sz w:val="32"/>
          <w:szCs w:val="32"/>
        </w:rPr>
      </w:pPr>
      <w:r>
        <w:rPr>
          <w:rFonts w:hint="eastAsia" w:ascii="仿宋" w:hAnsi="仿宋" w:eastAsia="仿宋" w:cs="Arial"/>
          <w:b/>
          <w:bCs/>
          <w:sz w:val="32"/>
          <w:szCs w:val="32"/>
        </w:rPr>
        <w:t>第三十六条</w:t>
      </w:r>
      <w:r>
        <w:rPr>
          <w:rFonts w:hint="eastAsia" w:ascii="仿宋" w:hAnsi="仿宋" w:eastAsia="仿宋" w:cs="Arial"/>
          <w:sz w:val="32"/>
          <w:szCs w:val="32"/>
        </w:rPr>
        <w:t xml:space="preserve"> 本实施细则由区工业和信息化局负责解释。</w:t>
      </w:r>
    </w:p>
    <w:p>
      <w:pPr>
        <w:pStyle w:val="2"/>
        <w:adjustRightInd w:val="0"/>
        <w:snapToGrid w:val="0"/>
        <w:spacing w:line="560" w:lineRule="exact"/>
        <w:ind w:firstLine="643" w:firstLineChars="200"/>
        <w:jc w:val="left"/>
        <w:rPr>
          <w:rFonts w:ascii="仿宋" w:hAnsi="仿宋" w:eastAsia="仿宋" w:cs="Arial"/>
          <w:sz w:val="32"/>
          <w:szCs w:val="32"/>
        </w:rPr>
      </w:pPr>
      <w:r>
        <w:rPr>
          <w:rFonts w:hint="eastAsia" w:ascii="仿宋" w:hAnsi="仿宋" w:eastAsia="仿宋" w:cs="Arial"/>
          <w:b/>
          <w:bCs/>
          <w:sz w:val="32"/>
          <w:szCs w:val="32"/>
        </w:rPr>
        <w:t>第</w:t>
      </w:r>
      <w:r>
        <w:rPr>
          <w:rFonts w:hint="eastAsia" w:ascii="Arial" w:hAnsi="Arial" w:eastAsia="仿宋" w:cs="Arial"/>
          <w:b/>
          <w:bCs/>
          <w:sz w:val="32"/>
          <w:szCs w:val="32"/>
        </w:rPr>
        <w:t>三十七</w:t>
      </w:r>
      <w:r>
        <w:rPr>
          <w:rFonts w:hint="eastAsia" w:ascii="仿宋" w:hAnsi="仿宋" w:eastAsia="仿宋" w:cs="Arial"/>
          <w:b/>
          <w:bCs/>
          <w:sz w:val="32"/>
          <w:szCs w:val="32"/>
        </w:rPr>
        <w:t>条</w:t>
      </w:r>
      <w:r>
        <w:rPr>
          <w:rFonts w:hint="eastAsia" w:ascii="仿宋" w:hAnsi="仿宋" w:eastAsia="仿宋" w:cs="Arial"/>
          <w:sz w:val="32"/>
          <w:szCs w:val="32"/>
        </w:rPr>
        <w:t xml:space="preserve"> 本实施细则自202</w:t>
      </w:r>
      <w:r>
        <w:rPr>
          <w:rFonts w:ascii="仿宋" w:hAnsi="仿宋" w:eastAsia="仿宋" w:cs="Arial"/>
          <w:sz w:val="32"/>
          <w:szCs w:val="32"/>
        </w:rPr>
        <w:t>1</w:t>
      </w:r>
      <w:r>
        <w:rPr>
          <w:rFonts w:hint="eastAsia" w:ascii="仿宋" w:hAnsi="仿宋" w:eastAsia="仿宋" w:cs="Arial"/>
          <w:sz w:val="32"/>
          <w:szCs w:val="32"/>
        </w:rPr>
        <w:t>年</w:t>
      </w:r>
      <w:r>
        <w:rPr>
          <w:rFonts w:ascii="Arial" w:hAnsi="Arial" w:eastAsia="仿宋" w:cs="Arial"/>
          <w:sz w:val="32"/>
          <w:szCs w:val="32"/>
        </w:rPr>
        <w:t>××</w:t>
      </w:r>
      <w:r>
        <w:rPr>
          <w:rFonts w:hint="eastAsia" w:ascii="仿宋" w:hAnsi="仿宋" w:eastAsia="仿宋" w:cs="Arial"/>
          <w:sz w:val="32"/>
          <w:szCs w:val="32"/>
        </w:rPr>
        <w:t>月</w:t>
      </w:r>
      <w:r>
        <w:rPr>
          <w:rFonts w:ascii="Arial" w:hAnsi="Arial" w:eastAsia="仿宋" w:cs="Arial"/>
          <w:sz w:val="32"/>
          <w:szCs w:val="32"/>
        </w:rPr>
        <w:t>××</w:t>
      </w:r>
      <w:r>
        <w:rPr>
          <w:rFonts w:hint="eastAsia" w:ascii="仿宋" w:hAnsi="仿宋" w:eastAsia="仿宋" w:cs="Arial"/>
          <w:sz w:val="32"/>
          <w:szCs w:val="32"/>
        </w:rPr>
        <w:t>日起施行，有效期</w:t>
      </w:r>
      <w:r>
        <w:rPr>
          <w:rFonts w:ascii="Arial" w:hAnsi="Arial" w:eastAsia="仿宋" w:cs="Arial"/>
          <w:sz w:val="32"/>
          <w:szCs w:val="32"/>
        </w:rPr>
        <w:t>×</w:t>
      </w:r>
      <w:r>
        <w:rPr>
          <w:rFonts w:hint="eastAsia" w:ascii="仿宋" w:hAnsi="仿宋" w:eastAsia="仿宋" w:cs="Arial"/>
          <w:sz w:val="32"/>
          <w:szCs w:val="32"/>
        </w:rPr>
        <w:t>年。</w:t>
      </w:r>
    </w:p>
    <w:p>
      <w:pPr>
        <w:pStyle w:val="2"/>
        <w:adjustRightInd w:val="0"/>
        <w:snapToGrid w:val="0"/>
        <w:spacing w:line="560" w:lineRule="exact"/>
        <w:ind w:firstLine="660"/>
        <w:rPr>
          <w:rFonts w:ascii="仿宋" w:hAnsi="仿宋" w:eastAsia="仿宋" w:cs="Arial"/>
          <w:sz w:val="32"/>
          <w:szCs w:val="32"/>
        </w:rPr>
      </w:pPr>
    </w:p>
    <w:p>
      <w:pPr>
        <w:adjustRightInd w:val="0"/>
        <w:snapToGrid w:val="0"/>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AB9A7"/>
    <w:multiLevelType w:val="singleLevel"/>
    <w:tmpl w:val="9A3AB9A7"/>
    <w:lvl w:ilvl="0" w:tentative="0">
      <w:start w:val="3"/>
      <w:numFmt w:val="chineseCounting"/>
      <w:suff w:val="nothing"/>
      <w:lvlText w:val="（%1）"/>
      <w:lvlJc w:val="left"/>
      <w:rPr>
        <w:rFonts w:hint="eastAsia"/>
      </w:rPr>
    </w:lvl>
  </w:abstractNum>
  <w:abstractNum w:abstractNumId="1">
    <w:nsid w:val="FA25C338"/>
    <w:multiLevelType w:val="singleLevel"/>
    <w:tmpl w:val="FA25C338"/>
    <w:lvl w:ilvl="0" w:tentative="0">
      <w:start w:val="3"/>
      <w:numFmt w:val="chineseCounting"/>
      <w:suff w:val="nothing"/>
      <w:lvlText w:val="（%1）"/>
      <w:lvlJc w:val="left"/>
      <w:rPr>
        <w:rFonts w:hint="eastAsia"/>
      </w:rPr>
    </w:lvl>
  </w:abstractNum>
  <w:abstractNum w:abstractNumId="2">
    <w:nsid w:val="600FE3B5"/>
    <w:multiLevelType w:val="singleLevel"/>
    <w:tmpl w:val="600FE3B5"/>
    <w:lvl w:ilvl="0" w:tentative="0">
      <w:start w:val="1"/>
      <w:numFmt w:val="chineseCounting"/>
      <w:suff w:val="space"/>
      <w:lvlText w:val="第%1章"/>
      <w:lvlJc w:val="left"/>
    </w:lvl>
  </w:abstractNum>
  <w:abstractNum w:abstractNumId="3">
    <w:nsid w:val="600FE858"/>
    <w:multiLevelType w:val="singleLevel"/>
    <w:tmpl w:val="600FE858"/>
    <w:lvl w:ilvl="0" w:tentative="0">
      <w:start w:val="1"/>
      <w:numFmt w:val="chineseCounting"/>
      <w:suff w:val="nothing"/>
      <w:lvlText w:val="第%1条"/>
      <w:lvlJc w:val="left"/>
      <w:pPr>
        <w:ind w:left="-10"/>
      </w:pPr>
    </w:lvl>
  </w:abstractNum>
  <w:abstractNum w:abstractNumId="4">
    <w:nsid w:val="600FEBDC"/>
    <w:multiLevelType w:val="singleLevel"/>
    <w:tmpl w:val="600FEBDC"/>
    <w:lvl w:ilvl="0" w:tentative="0">
      <w:start w:val="2"/>
      <w:numFmt w:val="chineseCounting"/>
      <w:suff w:val="space"/>
      <w:lvlText w:val="第%1章"/>
      <w:lvlJc w:val="left"/>
    </w:lvl>
  </w:abstractNum>
  <w:abstractNum w:abstractNumId="5">
    <w:nsid w:val="60100613"/>
    <w:multiLevelType w:val="singleLevel"/>
    <w:tmpl w:val="60100613"/>
    <w:lvl w:ilvl="0" w:tentative="0">
      <w:start w:val="4"/>
      <w:numFmt w:val="chineseCounting"/>
      <w:suff w:val="space"/>
      <w:lvlText w:val="第%1章"/>
      <w:lvlJc w:val="left"/>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94E"/>
    <w:rsid w:val="00000563"/>
    <w:rsid w:val="00017AFD"/>
    <w:rsid w:val="0002649C"/>
    <w:rsid w:val="00053883"/>
    <w:rsid w:val="0005599B"/>
    <w:rsid w:val="00061238"/>
    <w:rsid w:val="00062D5E"/>
    <w:rsid w:val="000651A5"/>
    <w:rsid w:val="00067183"/>
    <w:rsid w:val="00067E7F"/>
    <w:rsid w:val="000710F1"/>
    <w:rsid w:val="00072036"/>
    <w:rsid w:val="00093B27"/>
    <w:rsid w:val="000A19EC"/>
    <w:rsid w:val="000A5895"/>
    <w:rsid w:val="000B577D"/>
    <w:rsid w:val="000B5AA5"/>
    <w:rsid w:val="000C712C"/>
    <w:rsid w:val="000C7DEB"/>
    <w:rsid w:val="000E1749"/>
    <w:rsid w:val="000E4427"/>
    <w:rsid w:val="000E5DA9"/>
    <w:rsid w:val="000E7E17"/>
    <w:rsid w:val="000F47DD"/>
    <w:rsid w:val="001069C1"/>
    <w:rsid w:val="00111184"/>
    <w:rsid w:val="00113F31"/>
    <w:rsid w:val="0011447A"/>
    <w:rsid w:val="00116386"/>
    <w:rsid w:val="00121F0D"/>
    <w:rsid w:val="00122D0E"/>
    <w:rsid w:val="0012410C"/>
    <w:rsid w:val="001243BB"/>
    <w:rsid w:val="00126CFC"/>
    <w:rsid w:val="0013568E"/>
    <w:rsid w:val="00145413"/>
    <w:rsid w:val="00154FD0"/>
    <w:rsid w:val="001627F4"/>
    <w:rsid w:val="00172556"/>
    <w:rsid w:val="001809E9"/>
    <w:rsid w:val="00182FB6"/>
    <w:rsid w:val="00183427"/>
    <w:rsid w:val="00194434"/>
    <w:rsid w:val="001B565B"/>
    <w:rsid w:val="001C76C1"/>
    <w:rsid w:val="002032D1"/>
    <w:rsid w:val="00211F56"/>
    <w:rsid w:val="00213AC2"/>
    <w:rsid w:val="0022100E"/>
    <w:rsid w:val="00222112"/>
    <w:rsid w:val="00231808"/>
    <w:rsid w:val="00233B80"/>
    <w:rsid w:val="002408A0"/>
    <w:rsid w:val="00246163"/>
    <w:rsid w:val="0025649C"/>
    <w:rsid w:val="00262C3D"/>
    <w:rsid w:val="0027059F"/>
    <w:rsid w:val="002764C9"/>
    <w:rsid w:val="002825CD"/>
    <w:rsid w:val="00293278"/>
    <w:rsid w:val="002959B7"/>
    <w:rsid w:val="002B2597"/>
    <w:rsid w:val="002B2EB6"/>
    <w:rsid w:val="002C00B7"/>
    <w:rsid w:val="002C4C1C"/>
    <w:rsid w:val="002D36DA"/>
    <w:rsid w:val="002D4115"/>
    <w:rsid w:val="002F28E2"/>
    <w:rsid w:val="002F33E6"/>
    <w:rsid w:val="002F36B1"/>
    <w:rsid w:val="00303E26"/>
    <w:rsid w:val="00307BE6"/>
    <w:rsid w:val="00313B7A"/>
    <w:rsid w:val="003156A0"/>
    <w:rsid w:val="00316267"/>
    <w:rsid w:val="003231C4"/>
    <w:rsid w:val="00343FA4"/>
    <w:rsid w:val="00347AFD"/>
    <w:rsid w:val="003846D9"/>
    <w:rsid w:val="00385E59"/>
    <w:rsid w:val="003A1483"/>
    <w:rsid w:val="003A4E91"/>
    <w:rsid w:val="003B1A6C"/>
    <w:rsid w:val="003B50BB"/>
    <w:rsid w:val="003C7F74"/>
    <w:rsid w:val="003E0CCF"/>
    <w:rsid w:val="003E4CE5"/>
    <w:rsid w:val="003F1C72"/>
    <w:rsid w:val="0040361B"/>
    <w:rsid w:val="00404067"/>
    <w:rsid w:val="00406E5E"/>
    <w:rsid w:val="00426176"/>
    <w:rsid w:val="00432D64"/>
    <w:rsid w:val="0043616B"/>
    <w:rsid w:val="00437819"/>
    <w:rsid w:val="00441B98"/>
    <w:rsid w:val="00450EEF"/>
    <w:rsid w:val="00456E80"/>
    <w:rsid w:val="0047138D"/>
    <w:rsid w:val="004732DB"/>
    <w:rsid w:val="00485995"/>
    <w:rsid w:val="00495334"/>
    <w:rsid w:val="004A52D8"/>
    <w:rsid w:val="004B697E"/>
    <w:rsid w:val="004C24D0"/>
    <w:rsid w:val="004C6103"/>
    <w:rsid w:val="004C719C"/>
    <w:rsid w:val="004D26B7"/>
    <w:rsid w:val="004E2313"/>
    <w:rsid w:val="004E6169"/>
    <w:rsid w:val="004F2CC2"/>
    <w:rsid w:val="005014F0"/>
    <w:rsid w:val="00510346"/>
    <w:rsid w:val="005168DD"/>
    <w:rsid w:val="00516E28"/>
    <w:rsid w:val="0051755A"/>
    <w:rsid w:val="0052041B"/>
    <w:rsid w:val="00554BA0"/>
    <w:rsid w:val="00556881"/>
    <w:rsid w:val="00562B4D"/>
    <w:rsid w:val="005837FF"/>
    <w:rsid w:val="0058496B"/>
    <w:rsid w:val="00585C7B"/>
    <w:rsid w:val="005A0438"/>
    <w:rsid w:val="005A57DD"/>
    <w:rsid w:val="005B1AC3"/>
    <w:rsid w:val="005B62FB"/>
    <w:rsid w:val="005C1BFA"/>
    <w:rsid w:val="005D0489"/>
    <w:rsid w:val="005E53B4"/>
    <w:rsid w:val="005E6BC1"/>
    <w:rsid w:val="006111F2"/>
    <w:rsid w:val="006327EE"/>
    <w:rsid w:val="006343B3"/>
    <w:rsid w:val="0063548C"/>
    <w:rsid w:val="00641C3B"/>
    <w:rsid w:val="0065589E"/>
    <w:rsid w:val="00657B9A"/>
    <w:rsid w:val="00667ECF"/>
    <w:rsid w:val="006713C0"/>
    <w:rsid w:val="00673816"/>
    <w:rsid w:val="00693C05"/>
    <w:rsid w:val="006B5B2B"/>
    <w:rsid w:val="006C424C"/>
    <w:rsid w:val="006E3CD1"/>
    <w:rsid w:val="006F4A6B"/>
    <w:rsid w:val="006F597E"/>
    <w:rsid w:val="006F6A4C"/>
    <w:rsid w:val="00731D7E"/>
    <w:rsid w:val="007539B8"/>
    <w:rsid w:val="00755080"/>
    <w:rsid w:val="00756FCF"/>
    <w:rsid w:val="00762E9D"/>
    <w:rsid w:val="00765F81"/>
    <w:rsid w:val="0076674E"/>
    <w:rsid w:val="00771E14"/>
    <w:rsid w:val="007A2EC6"/>
    <w:rsid w:val="007A59FD"/>
    <w:rsid w:val="007B4017"/>
    <w:rsid w:val="007B4908"/>
    <w:rsid w:val="007E3EFD"/>
    <w:rsid w:val="007F289F"/>
    <w:rsid w:val="008026C1"/>
    <w:rsid w:val="00810B05"/>
    <w:rsid w:val="00863337"/>
    <w:rsid w:val="008668EE"/>
    <w:rsid w:val="00880250"/>
    <w:rsid w:val="00881DC3"/>
    <w:rsid w:val="008B0653"/>
    <w:rsid w:val="008B380A"/>
    <w:rsid w:val="008B70D8"/>
    <w:rsid w:val="008C2EEC"/>
    <w:rsid w:val="008C434D"/>
    <w:rsid w:val="008C4867"/>
    <w:rsid w:val="008C594E"/>
    <w:rsid w:val="008D6871"/>
    <w:rsid w:val="008E58E9"/>
    <w:rsid w:val="008F7407"/>
    <w:rsid w:val="008F74C6"/>
    <w:rsid w:val="0092101A"/>
    <w:rsid w:val="00931FB3"/>
    <w:rsid w:val="00940BD7"/>
    <w:rsid w:val="009565AD"/>
    <w:rsid w:val="00971930"/>
    <w:rsid w:val="00992FE8"/>
    <w:rsid w:val="00996141"/>
    <w:rsid w:val="009A2BB6"/>
    <w:rsid w:val="009B0659"/>
    <w:rsid w:val="009B77C4"/>
    <w:rsid w:val="009C00CB"/>
    <w:rsid w:val="009D4BEB"/>
    <w:rsid w:val="009D6A81"/>
    <w:rsid w:val="009E7B64"/>
    <w:rsid w:val="009F2C9E"/>
    <w:rsid w:val="00A014A7"/>
    <w:rsid w:val="00A1757A"/>
    <w:rsid w:val="00A41F02"/>
    <w:rsid w:val="00A5153A"/>
    <w:rsid w:val="00A52381"/>
    <w:rsid w:val="00A64E28"/>
    <w:rsid w:val="00A85244"/>
    <w:rsid w:val="00A865F2"/>
    <w:rsid w:val="00AA564D"/>
    <w:rsid w:val="00AB1979"/>
    <w:rsid w:val="00AB5289"/>
    <w:rsid w:val="00AC221E"/>
    <w:rsid w:val="00AC3251"/>
    <w:rsid w:val="00AE586B"/>
    <w:rsid w:val="00AF30F5"/>
    <w:rsid w:val="00AF421F"/>
    <w:rsid w:val="00B26CFE"/>
    <w:rsid w:val="00B32DEA"/>
    <w:rsid w:val="00B44876"/>
    <w:rsid w:val="00B452D9"/>
    <w:rsid w:val="00B50B79"/>
    <w:rsid w:val="00B52085"/>
    <w:rsid w:val="00B548E4"/>
    <w:rsid w:val="00B76A45"/>
    <w:rsid w:val="00B76B36"/>
    <w:rsid w:val="00B81D0D"/>
    <w:rsid w:val="00B84D8A"/>
    <w:rsid w:val="00BB4889"/>
    <w:rsid w:val="00BC1096"/>
    <w:rsid w:val="00BC5301"/>
    <w:rsid w:val="00BD2446"/>
    <w:rsid w:val="00BD3D22"/>
    <w:rsid w:val="00BD5AA4"/>
    <w:rsid w:val="00BF02CF"/>
    <w:rsid w:val="00BF43E0"/>
    <w:rsid w:val="00C071F3"/>
    <w:rsid w:val="00C10E5C"/>
    <w:rsid w:val="00C11CB2"/>
    <w:rsid w:val="00C308F9"/>
    <w:rsid w:val="00C32BEB"/>
    <w:rsid w:val="00C32E56"/>
    <w:rsid w:val="00C36939"/>
    <w:rsid w:val="00C459A9"/>
    <w:rsid w:val="00C51C0D"/>
    <w:rsid w:val="00C611D7"/>
    <w:rsid w:val="00C73ADB"/>
    <w:rsid w:val="00CA5A9C"/>
    <w:rsid w:val="00CB49F1"/>
    <w:rsid w:val="00CB730C"/>
    <w:rsid w:val="00CE7252"/>
    <w:rsid w:val="00CF3011"/>
    <w:rsid w:val="00CF3B13"/>
    <w:rsid w:val="00D16EA7"/>
    <w:rsid w:val="00D17534"/>
    <w:rsid w:val="00D3228B"/>
    <w:rsid w:val="00D42706"/>
    <w:rsid w:val="00D56ADB"/>
    <w:rsid w:val="00D74086"/>
    <w:rsid w:val="00D75A2A"/>
    <w:rsid w:val="00D76406"/>
    <w:rsid w:val="00D765CA"/>
    <w:rsid w:val="00D95EA3"/>
    <w:rsid w:val="00DA05DF"/>
    <w:rsid w:val="00DA5B3C"/>
    <w:rsid w:val="00DF3A80"/>
    <w:rsid w:val="00DF4F7A"/>
    <w:rsid w:val="00DF67ED"/>
    <w:rsid w:val="00E136D4"/>
    <w:rsid w:val="00E1630F"/>
    <w:rsid w:val="00E2480F"/>
    <w:rsid w:val="00E30BBF"/>
    <w:rsid w:val="00E52183"/>
    <w:rsid w:val="00E539D9"/>
    <w:rsid w:val="00E6252B"/>
    <w:rsid w:val="00E67D40"/>
    <w:rsid w:val="00EB06AC"/>
    <w:rsid w:val="00ED058A"/>
    <w:rsid w:val="00EF11DD"/>
    <w:rsid w:val="00EF7CCD"/>
    <w:rsid w:val="00F05756"/>
    <w:rsid w:val="00F13151"/>
    <w:rsid w:val="00F1435F"/>
    <w:rsid w:val="00F335B4"/>
    <w:rsid w:val="00F33B02"/>
    <w:rsid w:val="00F3420A"/>
    <w:rsid w:val="00F46BB2"/>
    <w:rsid w:val="00F5343D"/>
    <w:rsid w:val="00F60544"/>
    <w:rsid w:val="00F73418"/>
    <w:rsid w:val="00FA39BF"/>
    <w:rsid w:val="00FB02DC"/>
    <w:rsid w:val="00FE0FEE"/>
    <w:rsid w:val="00FE2FEA"/>
    <w:rsid w:val="00FF2F99"/>
    <w:rsid w:val="00FF46E8"/>
    <w:rsid w:val="02116996"/>
    <w:rsid w:val="02CA1162"/>
    <w:rsid w:val="0307488A"/>
    <w:rsid w:val="036C4C32"/>
    <w:rsid w:val="0499751F"/>
    <w:rsid w:val="056D54F9"/>
    <w:rsid w:val="05804838"/>
    <w:rsid w:val="05E66380"/>
    <w:rsid w:val="05EB3594"/>
    <w:rsid w:val="06307F3D"/>
    <w:rsid w:val="06807101"/>
    <w:rsid w:val="083541E3"/>
    <w:rsid w:val="089F3499"/>
    <w:rsid w:val="090A1E3D"/>
    <w:rsid w:val="092D34C7"/>
    <w:rsid w:val="0A23372D"/>
    <w:rsid w:val="0A42291D"/>
    <w:rsid w:val="0A7A4652"/>
    <w:rsid w:val="0B983421"/>
    <w:rsid w:val="0BA2315F"/>
    <w:rsid w:val="0BF02338"/>
    <w:rsid w:val="0BF56B6F"/>
    <w:rsid w:val="0CBA5B22"/>
    <w:rsid w:val="0CC11662"/>
    <w:rsid w:val="0D467316"/>
    <w:rsid w:val="106F3854"/>
    <w:rsid w:val="11713821"/>
    <w:rsid w:val="11B33294"/>
    <w:rsid w:val="12C53FE4"/>
    <w:rsid w:val="130556ED"/>
    <w:rsid w:val="132151D6"/>
    <w:rsid w:val="1343135F"/>
    <w:rsid w:val="14FD0129"/>
    <w:rsid w:val="15181187"/>
    <w:rsid w:val="153B7406"/>
    <w:rsid w:val="1637544C"/>
    <w:rsid w:val="179A12D3"/>
    <w:rsid w:val="17DB2B71"/>
    <w:rsid w:val="17E524BF"/>
    <w:rsid w:val="18757F6C"/>
    <w:rsid w:val="190425F5"/>
    <w:rsid w:val="193E0A43"/>
    <w:rsid w:val="19E84479"/>
    <w:rsid w:val="1C54340D"/>
    <w:rsid w:val="1CAA60A2"/>
    <w:rsid w:val="1F96769D"/>
    <w:rsid w:val="1FFD4F5E"/>
    <w:rsid w:val="219904DB"/>
    <w:rsid w:val="22503CCA"/>
    <w:rsid w:val="22A8080B"/>
    <w:rsid w:val="23487524"/>
    <w:rsid w:val="23C50435"/>
    <w:rsid w:val="25B53674"/>
    <w:rsid w:val="25FE5A7D"/>
    <w:rsid w:val="278477D3"/>
    <w:rsid w:val="27D26E6F"/>
    <w:rsid w:val="28470E0D"/>
    <w:rsid w:val="28500411"/>
    <w:rsid w:val="28606327"/>
    <w:rsid w:val="28EA36FF"/>
    <w:rsid w:val="2C2E62C3"/>
    <w:rsid w:val="2CDB0486"/>
    <w:rsid w:val="2CF84D2B"/>
    <w:rsid w:val="2D7641AF"/>
    <w:rsid w:val="2D781322"/>
    <w:rsid w:val="2E463035"/>
    <w:rsid w:val="2EC7729E"/>
    <w:rsid w:val="2F3A6EF5"/>
    <w:rsid w:val="2F7B2197"/>
    <w:rsid w:val="2F825DB0"/>
    <w:rsid w:val="315E0114"/>
    <w:rsid w:val="31727897"/>
    <w:rsid w:val="323E1C77"/>
    <w:rsid w:val="33427982"/>
    <w:rsid w:val="3399703E"/>
    <w:rsid w:val="34204972"/>
    <w:rsid w:val="35751459"/>
    <w:rsid w:val="361E44C7"/>
    <w:rsid w:val="365C63FA"/>
    <w:rsid w:val="371F391C"/>
    <w:rsid w:val="38CD71B9"/>
    <w:rsid w:val="3A650E0B"/>
    <w:rsid w:val="3AA97036"/>
    <w:rsid w:val="3B1160EA"/>
    <w:rsid w:val="3BCA7244"/>
    <w:rsid w:val="3BF8054F"/>
    <w:rsid w:val="3EB919AF"/>
    <w:rsid w:val="3F2139E7"/>
    <w:rsid w:val="3FB00B32"/>
    <w:rsid w:val="3FDC1676"/>
    <w:rsid w:val="40157D40"/>
    <w:rsid w:val="40523C97"/>
    <w:rsid w:val="406D0DAE"/>
    <w:rsid w:val="40E937EA"/>
    <w:rsid w:val="41206B78"/>
    <w:rsid w:val="414E5B20"/>
    <w:rsid w:val="4162615E"/>
    <w:rsid w:val="41C16C12"/>
    <w:rsid w:val="42F450F6"/>
    <w:rsid w:val="4348190A"/>
    <w:rsid w:val="434848FB"/>
    <w:rsid w:val="43A30DD9"/>
    <w:rsid w:val="468B5200"/>
    <w:rsid w:val="489F3A8B"/>
    <w:rsid w:val="48BD2DA0"/>
    <w:rsid w:val="48EA6946"/>
    <w:rsid w:val="49476F89"/>
    <w:rsid w:val="4B791664"/>
    <w:rsid w:val="4BE83797"/>
    <w:rsid w:val="4C4745E4"/>
    <w:rsid w:val="4CA30DA8"/>
    <w:rsid w:val="4CE1786E"/>
    <w:rsid w:val="4CFB1023"/>
    <w:rsid w:val="4D291319"/>
    <w:rsid w:val="4E9B73B3"/>
    <w:rsid w:val="4FF93D00"/>
    <w:rsid w:val="500C79BB"/>
    <w:rsid w:val="5026376E"/>
    <w:rsid w:val="503D1B8F"/>
    <w:rsid w:val="50A016DF"/>
    <w:rsid w:val="50B542AB"/>
    <w:rsid w:val="51CD7FBD"/>
    <w:rsid w:val="522A5B16"/>
    <w:rsid w:val="527315A3"/>
    <w:rsid w:val="52D63E89"/>
    <w:rsid w:val="53D225DD"/>
    <w:rsid w:val="5418429E"/>
    <w:rsid w:val="55490962"/>
    <w:rsid w:val="577A4544"/>
    <w:rsid w:val="598D70F7"/>
    <w:rsid w:val="5AA04624"/>
    <w:rsid w:val="5B436E7E"/>
    <w:rsid w:val="5B4B549D"/>
    <w:rsid w:val="5B7D7811"/>
    <w:rsid w:val="5D970CAC"/>
    <w:rsid w:val="5DBB216A"/>
    <w:rsid w:val="5DD2549A"/>
    <w:rsid w:val="5E717354"/>
    <w:rsid w:val="5F8C1A28"/>
    <w:rsid w:val="5F930AF2"/>
    <w:rsid w:val="63297466"/>
    <w:rsid w:val="638B7D1C"/>
    <w:rsid w:val="640E33B2"/>
    <w:rsid w:val="64862378"/>
    <w:rsid w:val="64EF7828"/>
    <w:rsid w:val="66626C4A"/>
    <w:rsid w:val="6691793E"/>
    <w:rsid w:val="66E814F8"/>
    <w:rsid w:val="67293875"/>
    <w:rsid w:val="683A3681"/>
    <w:rsid w:val="68ED3EB9"/>
    <w:rsid w:val="69F147E4"/>
    <w:rsid w:val="6B1A22DE"/>
    <w:rsid w:val="6B5C770B"/>
    <w:rsid w:val="6B803368"/>
    <w:rsid w:val="6E31723C"/>
    <w:rsid w:val="6E3D76A6"/>
    <w:rsid w:val="6E93718F"/>
    <w:rsid w:val="70462679"/>
    <w:rsid w:val="70554E5B"/>
    <w:rsid w:val="71F91A91"/>
    <w:rsid w:val="72471E84"/>
    <w:rsid w:val="725A032D"/>
    <w:rsid w:val="725F3EE0"/>
    <w:rsid w:val="72F04318"/>
    <w:rsid w:val="73446508"/>
    <w:rsid w:val="73C23E53"/>
    <w:rsid w:val="74215C91"/>
    <w:rsid w:val="744600ED"/>
    <w:rsid w:val="7571371B"/>
    <w:rsid w:val="7673397B"/>
    <w:rsid w:val="772E6CAB"/>
    <w:rsid w:val="773029AC"/>
    <w:rsid w:val="77FA0B7F"/>
    <w:rsid w:val="783E4E31"/>
    <w:rsid w:val="78765062"/>
    <w:rsid w:val="795F7221"/>
    <w:rsid w:val="7B515643"/>
    <w:rsid w:val="7BD06BA6"/>
    <w:rsid w:val="7C96612F"/>
    <w:rsid w:val="7D236608"/>
    <w:rsid w:val="7F0C5D11"/>
    <w:rsid w:val="7F2A3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r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line="345" w:lineRule="atLeast"/>
      <w:jc w:val="left"/>
    </w:pPr>
    <w:rPr>
      <w:rFonts w:ascii="宋体" w:hAnsi="宋体" w:cs="宋体"/>
      <w:color w:val="333333"/>
      <w:kern w:val="0"/>
      <w:szCs w:val="21"/>
    </w:rPr>
  </w:style>
  <w:style w:type="character" w:customStyle="1" w:styleId="9">
    <w:name w:val="批注框文本 Char"/>
    <w:basedOn w:val="8"/>
    <w:link w:val="3"/>
    <w:qFormat/>
    <w:uiPriority w:val="0"/>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8633</Words>
  <Characters>468</Characters>
  <Lines>3</Lines>
  <Paragraphs>18</Paragraphs>
  <TotalTime>19</TotalTime>
  <ScaleCrop>false</ScaleCrop>
  <LinksUpToDate>false</LinksUpToDate>
  <CharactersWithSpaces>9083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吴小吴</cp:lastModifiedBy>
  <cp:lastPrinted>2021-06-16T09:49:00Z</cp:lastPrinted>
  <dcterms:modified xsi:type="dcterms:W3CDTF">2021-08-11T06:48:59Z</dcterms:modified>
  <cp:revision>506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7855CD7A7A864B0EAC58CB55F57AEE4D</vt:lpwstr>
  </property>
</Properties>
</file>